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6006" w14:textId="4D6C8763" w:rsidR="00A70889" w:rsidRDefault="00A70889" w:rsidP="00A70889">
      <w:pPr>
        <w:autoSpaceDE w:val="0"/>
        <w:autoSpaceDN w:val="0"/>
        <w:adjustRightInd w:val="0"/>
        <w:spacing w:after="0" w:line="240" w:lineRule="auto"/>
        <w:jc w:val="center"/>
        <w:rPr>
          <w:rFonts w:cs="Arial"/>
          <w:b/>
          <w:bCs/>
          <w:color w:val="020F59"/>
          <w:sz w:val="32"/>
          <w:szCs w:val="32"/>
        </w:rPr>
      </w:pPr>
      <w:r w:rsidRPr="00A70889">
        <w:rPr>
          <w:rFonts w:cs="Arial"/>
          <w:b/>
          <w:bCs/>
          <w:color w:val="020F59"/>
          <w:sz w:val="32"/>
          <w:szCs w:val="32"/>
        </w:rPr>
        <w:t>S</w:t>
      </w:r>
      <w:r w:rsidR="00A84FC3">
        <w:rPr>
          <w:rFonts w:cs="Arial"/>
          <w:b/>
          <w:bCs/>
          <w:color w:val="020F59"/>
          <w:sz w:val="32"/>
          <w:szCs w:val="32"/>
        </w:rPr>
        <w:t>aint Luke’s</w:t>
      </w:r>
      <w:r w:rsidRPr="00A70889">
        <w:rPr>
          <w:rFonts w:cs="Arial"/>
          <w:b/>
          <w:bCs/>
          <w:color w:val="020F59"/>
          <w:sz w:val="32"/>
          <w:szCs w:val="32"/>
        </w:rPr>
        <w:t xml:space="preserve"> </w:t>
      </w:r>
      <w:r w:rsidR="00A84FC3">
        <w:rPr>
          <w:rFonts w:cs="Arial"/>
          <w:b/>
          <w:bCs/>
          <w:color w:val="020F59"/>
          <w:sz w:val="32"/>
          <w:szCs w:val="32"/>
        </w:rPr>
        <w:t>Human Research Protection Program (</w:t>
      </w:r>
      <w:r w:rsidRPr="00A70889">
        <w:rPr>
          <w:rFonts w:cs="Arial"/>
          <w:b/>
          <w:bCs/>
          <w:color w:val="020F59"/>
          <w:sz w:val="32"/>
          <w:szCs w:val="32"/>
        </w:rPr>
        <w:t>HRPP</w:t>
      </w:r>
      <w:r w:rsidR="00A84FC3">
        <w:rPr>
          <w:rFonts w:cs="Arial"/>
          <w:b/>
          <w:bCs/>
          <w:color w:val="020F59"/>
          <w:sz w:val="32"/>
          <w:szCs w:val="32"/>
        </w:rPr>
        <w:t>)</w:t>
      </w:r>
      <w:r w:rsidRPr="00A70889">
        <w:rPr>
          <w:rFonts w:cs="Arial"/>
          <w:b/>
          <w:bCs/>
          <w:color w:val="020F59"/>
          <w:sz w:val="32"/>
          <w:szCs w:val="32"/>
        </w:rPr>
        <w:t xml:space="preserve"> Guidance on Protocol Deviations</w:t>
      </w:r>
    </w:p>
    <w:p w14:paraId="0A84EAB8" w14:textId="5792B3AF" w:rsidR="00A70889" w:rsidRPr="00A70889" w:rsidRDefault="00245429" w:rsidP="00A70889">
      <w:pPr>
        <w:autoSpaceDE w:val="0"/>
        <w:autoSpaceDN w:val="0"/>
        <w:adjustRightInd w:val="0"/>
        <w:spacing w:after="0" w:line="240" w:lineRule="auto"/>
        <w:jc w:val="center"/>
        <w:rPr>
          <w:rFonts w:cs="Arial"/>
          <w:b/>
          <w:bCs/>
          <w:color w:val="020F59"/>
          <w:sz w:val="32"/>
          <w:szCs w:val="32"/>
        </w:rPr>
      </w:pPr>
      <w:r>
        <w:rPr>
          <w:rFonts w:cs="Arial"/>
          <w:b/>
          <w:bCs/>
          <w:noProof/>
          <w:color w:val="020F59"/>
          <w:sz w:val="32"/>
          <w:szCs w:val="32"/>
        </w:rPr>
        <mc:AlternateContent>
          <mc:Choice Requires="wps">
            <w:drawing>
              <wp:anchor distT="0" distB="0" distL="114300" distR="114300" simplePos="0" relativeHeight="251659264" behindDoc="1" locked="0" layoutInCell="1" allowOverlap="1" wp14:anchorId="179882C4" wp14:editId="0E114E90">
                <wp:simplePos x="0" y="0"/>
                <wp:positionH relativeFrom="column">
                  <wp:posOffset>-223284</wp:posOffset>
                </wp:positionH>
                <wp:positionV relativeFrom="paragraph">
                  <wp:posOffset>249703</wp:posOffset>
                </wp:positionV>
                <wp:extent cx="6390005" cy="2296632"/>
                <wp:effectExtent l="0" t="0" r="0" b="8890"/>
                <wp:wrapNone/>
                <wp:docPr id="1818538737" name="Rectangle 1"/>
                <wp:cNvGraphicFramePr/>
                <a:graphic xmlns:a="http://schemas.openxmlformats.org/drawingml/2006/main">
                  <a:graphicData uri="http://schemas.microsoft.com/office/word/2010/wordprocessingShape">
                    <wps:wsp>
                      <wps:cNvSpPr/>
                      <wps:spPr>
                        <a:xfrm>
                          <a:off x="0" y="0"/>
                          <a:ext cx="6390005" cy="2296632"/>
                        </a:xfrm>
                        <a:prstGeom prst="rect">
                          <a:avLst/>
                        </a:prstGeom>
                        <a:solidFill>
                          <a:srgbClr val="8DC9F7">
                            <a:alpha val="25098"/>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2D3E8" id="Rectangle 1" o:spid="_x0000_s1026" style="position:absolute;margin-left:-17.6pt;margin-top:19.65pt;width:503.15pt;height:18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" fillcolor="#8dc9f7" stroked="f" strokeweight="1pt">
                <v:fill opacity="16448f"/>
              </v:rect>
            </w:pict>
          </mc:Fallback>
        </mc:AlternateContent>
      </w:r>
    </w:p>
    <w:p w14:paraId="28A1C820" w14:textId="2EF181BA" w:rsidR="00245429" w:rsidRPr="00245429" w:rsidRDefault="00245429" w:rsidP="00245429">
      <w:pPr>
        <w:keepNext/>
        <w:keepLines/>
        <w:spacing w:before="160" w:after="80" w:line="276" w:lineRule="auto"/>
        <w:outlineLvl w:val="1"/>
        <w:rPr>
          <w:rFonts w:ascii="Arial" w:eastAsia="Calibri" w:hAnsi="Arial" w:cs="Arial"/>
          <w:b/>
          <w:iCs/>
          <w:caps/>
          <w:color w:val="0061AF"/>
          <w:kern w:val="0"/>
          <w14:ligatures w14:val="none"/>
        </w:rPr>
      </w:pPr>
      <w:r w:rsidRPr="00245429">
        <w:rPr>
          <w:rFonts w:ascii="Arial" w:eastAsia="Calibri" w:hAnsi="Arial" w:cs="Arial"/>
          <w:b/>
          <w:iCs/>
          <w:caps/>
          <w:color w:val="0061AF"/>
          <w:kern w:val="0"/>
          <w14:ligatures w14:val="none"/>
        </w:rPr>
        <w:t>What is a protocol deviation?</w:t>
      </w:r>
    </w:p>
    <w:p w14:paraId="2FF97165" w14:textId="77777777" w:rsidR="00245429" w:rsidRPr="00245429" w:rsidRDefault="00245429" w:rsidP="00245429">
      <w:pPr>
        <w:keepNext/>
        <w:keepLines/>
        <w:spacing w:before="160" w:line="276" w:lineRule="auto"/>
        <w:outlineLvl w:val="1"/>
        <w:rPr>
          <w:rFonts w:ascii="Arial" w:eastAsia="Times New Roman" w:hAnsi="Arial" w:cs="Arial"/>
          <w:color w:val="0061AF"/>
          <w:kern w:val="0"/>
          <w14:ligatures w14:val="none"/>
        </w:rPr>
      </w:pPr>
      <w:r w:rsidRPr="00245429">
        <w:rPr>
          <w:rFonts w:ascii="Arial" w:eastAsia="Times New Roman" w:hAnsi="Arial" w:cs="Arial"/>
          <w:color w:val="0061AF"/>
          <w:kern w:val="0"/>
          <w14:ligatures w14:val="none"/>
        </w:rPr>
        <w:t>The term “protocol deviation” is not defined by either DHHS human subjects regulations (</w:t>
      </w:r>
      <w:r w:rsidRPr="00245429">
        <w:rPr>
          <w:rFonts w:ascii="Arial" w:eastAsia="Times New Roman" w:hAnsi="Arial" w:cs="Arial"/>
          <w:i/>
          <w:iCs/>
          <w:color w:val="0092D2"/>
          <w:kern w:val="0"/>
          <w14:ligatures w14:val="none"/>
        </w:rPr>
        <w:t>45 CFR 46</w:t>
      </w:r>
      <w:r w:rsidRPr="00245429">
        <w:rPr>
          <w:rFonts w:ascii="Arial" w:eastAsia="Times New Roman" w:hAnsi="Arial" w:cs="Arial"/>
          <w:color w:val="0061AF"/>
          <w:kern w:val="0"/>
          <w14:ligatures w14:val="none"/>
        </w:rPr>
        <w:t xml:space="preserve">) or FDA human subjects regulations </w:t>
      </w:r>
      <w:r w:rsidRPr="00245429">
        <w:rPr>
          <w:rFonts w:ascii="Arial" w:eastAsia="Times New Roman" w:hAnsi="Arial" w:cs="Arial"/>
          <w:b/>
          <w:bCs/>
          <w:i/>
          <w:iCs/>
          <w:color w:val="0061AF"/>
          <w:kern w:val="0"/>
          <w14:ligatures w14:val="none"/>
        </w:rPr>
        <w:t>(</w:t>
      </w:r>
      <w:hyperlink r:id="rId11">
        <w:r w:rsidRPr="00245429">
          <w:rPr>
            <w:rStyle w:val="Hyperlink"/>
            <w:rFonts w:ascii="Arial" w:eastAsia="Times New Roman" w:hAnsi="Arial" w:cs="Arial"/>
            <w:b/>
            <w:bCs/>
            <w:i/>
            <w:iCs/>
            <w:color w:val="0061AF"/>
            <w:kern w:val="0"/>
            <w14:ligatures w14:val="none"/>
          </w:rPr>
          <w:t>21 CFR 50</w:t>
        </w:r>
      </w:hyperlink>
      <w:r w:rsidRPr="00245429">
        <w:rPr>
          <w:rFonts w:ascii="Arial" w:eastAsia="Times New Roman" w:hAnsi="Arial" w:cs="Arial"/>
          <w:b/>
          <w:bCs/>
          <w:i/>
          <w:iCs/>
          <w:color w:val="0061AF"/>
          <w:kern w:val="0"/>
          <w14:ligatures w14:val="none"/>
        </w:rPr>
        <w:t>)</w:t>
      </w:r>
      <w:r w:rsidRPr="00245429">
        <w:rPr>
          <w:rFonts w:ascii="Arial" w:eastAsia="Times New Roman" w:hAnsi="Arial" w:cs="Arial"/>
          <w:color w:val="0061AF"/>
          <w:kern w:val="0"/>
          <w14:ligatures w14:val="none"/>
        </w:rPr>
        <w:t>. </w:t>
      </w:r>
    </w:p>
    <w:p w14:paraId="4CAEE84D" w14:textId="77777777" w:rsidR="00245429" w:rsidRPr="00245429" w:rsidRDefault="00245429" w:rsidP="00245429">
      <w:pPr>
        <w:keepNext/>
        <w:keepLines/>
        <w:spacing w:before="160" w:after="80" w:line="276" w:lineRule="auto"/>
        <w:outlineLvl w:val="1"/>
        <w:rPr>
          <w:rFonts w:eastAsia="Times New Roman" w:cs="Arial"/>
          <w:kern w:val="0"/>
          <w14:ligatures w14:val="none"/>
        </w:rPr>
      </w:pPr>
      <w:r w:rsidRPr="00245429">
        <w:rPr>
          <w:rFonts w:eastAsia="Times New Roman" w:cs="Arial"/>
          <w:kern w:val="0"/>
          <w14:ligatures w14:val="none"/>
        </w:rPr>
        <w:t>The Saint Luke’s HRPP defines a protocol deviation as: any change, divergence, or departure from the study design or procedures of a research protocol that is under the Investigator’s control and that has not been approved by Saint Luke’s Institutional Review Board (IRB). Upon discovery, the Principal Investigator is responsible for reporting protocol deviations to Saint Luke’s IRB using the standard reporting form.</w:t>
      </w:r>
    </w:p>
    <w:p w14:paraId="0357288C" w14:textId="644C216C" w:rsidR="00245429" w:rsidRPr="00245429" w:rsidRDefault="00245429" w:rsidP="00245429">
      <w:pPr>
        <w:keepNext/>
        <w:keepLines/>
        <w:spacing w:before="240" w:line="276" w:lineRule="auto"/>
        <w:outlineLvl w:val="1"/>
        <w:rPr>
          <w:rFonts w:eastAsia="Times New Roman" w:cs="Arial"/>
          <w:color w:val="000000" w:themeColor="text1"/>
          <w:kern w:val="0"/>
          <w14:ligatures w14:val="none"/>
        </w:rPr>
      </w:pPr>
      <w:r w:rsidRPr="00245429">
        <w:rPr>
          <w:rFonts w:eastAsia="Times New Roman" w:cs="Arial"/>
          <w:color w:val="000000" w:themeColor="text1"/>
          <w:kern w:val="0"/>
          <w14:ligatures w14:val="none"/>
        </w:rPr>
        <w:t xml:space="preserve">See the </w:t>
      </w:r>
      <w:r w:rsidRPr="00245429">
        <w:rPr>
          <w:rFonts w:eastAsia="Times New Roman" w:cs="Arial"/>
          <w:b/>
          <w:bCs/>
          <w:color w:val="000000" w:themeColor="text1"/>
          <w:kern w:val="0"/>
          <w14:ligatures w14:val="none"/>
        </w:rPr>
        <w:t>Reportable Event Diagram</w:t>
      </w:r>
      <w:r w:rsidRPr="00245429">
        <w:rPr>
          <w:rFonts w:eastAsia="Times New Roman" w:cs="Arial"/>
          <w:color w:val="000000" w:themeColor="text1"/>
          <w:kern w:val="0"/>
          <w14:ligatures w14:val="none"/>
        </w:rPr>
        <w:t xml:space="preserve"> below.</w:t>
      </w:r>
    </w:p>
    <w:p w14:paraId="79FE2B9A" w14:textId="5D00F764" w:rsidR="00245429" w:rsidRPr="00245429" w:rsidRDefault="00245429" w:rsidP="00245429">
      <w:pPr>
        <w:spacing w:before="360" w:after="120" w:line="276" w:lineRule="auto"/>
        <w:rPr>
          <w:rFonts w:ascii="Arial" w:eastAsia="Calibri" w:hAnsi="Arial" w:cs="Arial"/>
          <w:b/>
          <w:iCs/>
          <w:caps/>
          <w:color w:val="002C73"/>
        </w:rPr>
      </w:pPr>
      <w:r w:rsidRPr="00245429">
        <w:rPr>
          <w:rFonts w:ascii="Arial" w:eastAsia="Calibri" w:hAnsi="Arial" w:cs="Arial"/>
          <w:b/>
          <w:iCs/>
          <w:caps/>
          <w:color w:val="002C73"/>
        </w:rPr>
        <w:t>unplanned protocol deviations</w:t>
      </w:r>
    </w:p>
    <w:p w14:paraId="1D413D3D" w14:textId="77777777" w:rsidR="00245429" w:rsidRPr="00245429" w:rsidRDefault="00245429" w:rsidP="00245429">
      <w:pPr>
        <w:shd w:val="clear" w:color="auto" w:fill="FFFFFF"/>
        <w:spacing w:after="100" w:afterAutospacing="1" w:line="276" w:lineRule="auto"/>
        <w:textAlignment w:val="baseline"/>
        <w:rPr>
          <w:rFonts w:ascii="Arial" w:eastAsia="Calibri" w:hAnsi="Arial" w:cs="Arial"/>
          <w:bCs/>
          <w:iCs/>
        </w:rPr>
      </w:pPr>
      <w:r w:rsidRPr="00245429">
        <w:rPr>
          <w:rFonts w:ascii="Arial" w:eastAsia="Calibri" w:hAnsi="Arial" w:cs="Arial"/>
          <w:bCs/>
          <w:iCs/>
        </w:rPr>
        <w:t>Protocol deviations are not usually anticipated and those that result in harm or have the potential for harm are considered Unanticipated Problems involving risk to subjects or others. Below is a framework to help Investigators and study teams distinguish between those protocol deviations that require prompt reporting and those that don't.</w:t>
      </w:r>
    </w:p>
    <w:p w14:paraId="34AB31D8" w14:textId="5A6D85A6" w:rsidR="00245429" w:rsidRPr="00245429" w:rsidRDefault="00245429" w:rsidP="00245429">
      <w:pPr>
        <w:spacing w:before="240" w:line="276" w:lineRule="auto"/>
        <w:rPr>
          <w:rFonts w:ascii="Arial" w:eastAsia="Calibri" w:hAnsi="Arial" w:cs="Arial"/>
          <w:b/>
          <w:iCs/>
          <w:caps/>
          <w:color w:val="002C73"/>
        </w:rPr>
      </w:pPr>
      <w:r w:rsidRPr="00245429">
        <w:rPr>
          <w:rFonts w:ascii="Arial" w:eastAsia="Calibri" w:hAnsi="Arial" w:cs="Arial"/>
          <w:b/>
          <w:iCs/>
          <w:caps/>
          <w:color w:val="002C73"/>
        </w:rPr>
        <w:t>Minor deviations</w:t>
      </w:r>
    </w:p>
    <w:p w14:paraId="13DA4814" w14:textId="355BDD4B" w:rsidR="00A70889" w:rsidRPr="00245429" w:rsidRDefault="00A70889" w:rsidP="00245429">
      <w:pPr>
        <w:keepNext/>
        <w:keepLines/>
        <w:spacing w:before="160" w:after="80" w:line="276" w:lineRule="auto"/>
        <w:outlineLvl w:val="2"/>
        <w:rPr>
          <w:rFonts w:ascii="Arial" w:eastAsia="Yu Gothic Light" w:hAnsi="Arial" w:cs="Arial"/>
          <w:color w:val="000000"/>
          <w14:ligatures w14:val="none"/>
        </w:rPr>
      </w:pPr>
      <w:r w:rsidRPr="00245429">
        <w:rPr>
          <w:rFonts w:ascii="Arial" w:eastAsia="Yu Gothic Light" w:hAnsi="Arial" w:cs="Arial"/>
          <w:color w:val="000000"/>
          <w14:ligatures w14:val="none"/>
        </w:rPr>
        <w:t xml:space="preserve">Deviations that do not require prompt reporting can occur frequently during a research study. Although these are protocol deviations, they usually cause no harm and have no potential to cause harm to the research subject or others. Such deviations can be submitted to </w:t>
      </w:r>
      <w:r w:rsidR="006D67BC" w:rsidRPr="00245429">
        <w:rPr>
          <w:rFonts w:ascii="Arial" w:eastAsia="Yu Gothic Light" w:hAnsi="Arial" w:cs="Arial"/>
          <w:color w:val="000000"/>
          <w14:ligatures w14:val="none"/>
        </w:rPr>
        <w:t>Saint Luke’s</w:t>
      </w:r>
      <w:r w:rsidRPr="00245429">
        <w:rPr>
          <w:rFonts w:ascii="Arial" w:eastAsia="Yu Gothic Light" w:hAnsi="Arial" w:cs="Arial"/>
          <w:color w:val="000000"/>
          <w14:ligatures w14:val="none"/>
        </w:rPr>
        <w:t xml:space="preserve"> IRB at the time of continuing review when continuing reviews are required. When continuing reviews are not required, they should be tracked and documented internally by the Investigators/study team but are not required to be submitted to </w:t>
      </w:r>
      <w:r w:rsidR="006D67BC" w:rsidRPr="00245429">
        <w:rPr>
          <w:rFonts w:ascii="Arial" w:eastAsia="Yu Gothic Light" w:hAnsi="Arial" w:cs="Arial"/>
          <w:color w:val="000000"/>
          <w14:ligatures w14:val="none"/>
        </w:rPr>
        <w:t>Saint Luke’s</w:t>
      </w:r>
      <w:r w:rsidRPr="00245429">
        <w:rPr>
          <w:rFonts w:ascii="Arial" w:eastAsia="Yu Gothic Light" w:hAnsi="Arial" w:cs="Arial"/>
          <w:color w:val="000000"/>
          <w14:ligatures w14:val="none"/>
        </w:rPr>
        <w:t xml:space="preserve"> IRB. </w:t>
      </w:r>
    </w:p>
    <w:p w14:paraId="380BEBD3" w14:textId="77777777" w:rsidR="00A70889" w:rsidRPr="00FD6ABE" w:rsidRDefault="00A70889" w:rsidP="00FD6ABE">
      <w:pPr>
        <w:spacing w:before="240" w:line="276" w:lineRule="auto"/>
        <w:ind w:left="360"/>
        <w:rPr>
          <w:rFonts w:ascii="Arial" w:eastAsia="Times New Roman" w:hAnsi="Arial" w:cs="Arial"/>
          <w:color w:val="0061AF"/>
          <w14:ligatures w14:val="none"/>
        </w:rPr>
      </w:pPr>
      <w:r w:rsidRPr="00FD6ABE">
        <w:rPr>
          <w:rFonts w:ascii="Arial" w:eastAsia="Times New Roman" w:hAnsi="Arial" w:cs="Arial"/>
          <w:color w:val="0061AF"/>
          <w14:ligatures w14:val="none"/>
        </w:rPr>
        <w:t>Examples of Minor Deviations that can be reported at Continuing Review:</w:t>
      </w:r>
    </w:p>
    <w:p w14:paraId="3C62DF36" w14:textId="77777777" w:rsidR="00A70889" w:rsidRPr="00FD6ABE" w:rsidRDefault="00A70889" w:rsidP="00245429">
      <w:pPr>
        <w:pStyle w:val="ListParagraph"/>
        <w:numPr>
          <w:ilvl w:val="0"/>
          <w:numId w:val="27"/>
        </w:numPr>
        <w:spacing w:before="120" w:after="120" w:line="276" w:lineRule="auto"/>
        <w:contextualSpacing w:val="0"/>
        <w:rPr>
          <w:rFonts w:ascii="Arial" w:eastAsia="Times New Roman" w:hAnsi="Arial" w:cs="Arial"/>
          <w:sz w:val="22"/>
          <w:szCs w:val="22"/>
          <w14:ligatures w14:val="none"/>
        </w:rPr>
      </w:pPr>
      <w:r w:rsidRPr="00FD6ABE">
        <w:rPr>
          <w:rFonts w:ascii="Arial" w:eastAsia="Times New Roman" w:hAnsi="Arial" w:cs="Arial"/>
          <w:sz w:val="22"/>
          <w:szCs w:val="22"/>
          <w14:ligatures w14:val="none"/>
        </w:rPr>
        <w:t>Subjects may fail to show up for a scheduled study visit</w:t>
      </w:r>
    </w:p>
    <w:p w14:paraId="3819E120" w14:textId="77777777" w:rsidR="00A70889" w:rsidRPr="00FD6ABE" w:rsidRDefault="00A70889" w:rsidP="00245429">
      <w:pPr>
        <w:pStyle w:val="ListParagraph"/>
        <w:numPr>
          <w:ilvl w:val="0"/>
          <w:numId w:val="27"/>
        </w:numPr>
        <w:spacing w:before="120" w:after="120" w:line="276" w:lineRule="auto"/>
        <w:contextualSpacing w:val="0"/>
        <w:rPr>
          <w:rFonts w:ascii="Arial" w:eastAsia="Times New Roman" w:hAnsi="Arial" w:cs="Arial"/>
          <w:sz w:val="22"/>
          <w:szCs w:val="22"/>
          <w14:ligatures w14:val="none"/>
        </w:rPr>
      </w:pPr>
      <w:r w:rsidRPr="00FD6ABE">
        <w:rPr>
          <w:rFonts w:ascii="Arial" w:eastAsia="Times New Roman" w:hAnsi="Arial" w:cs="Arial"/>
          <w:sz w:val="22"/>
          <w:szCs w:val="22"/>
          <w14:ligatures w14:val="none"/>
        </w:rPr>
        <w:t>Difficulty obtaining all the required blood samples at the specified times for a PK study</w:t>
      </w:r>
    </w:p>
    <w:p w14:paraId="53DE5F8A" w14:textId="77777777" w:rsidR="00A70889" w:rsidRPr="00FD6ABE" w:rsidRDefault="00A70889" w:rsidP="00245429">
      <w:pPr>
        <w:pStyle w:val="ListParagraph"/>
        <w:numPr>
          <w:ilvl w:val="0"/>
          <w:numId w:val="27"/>
        </w:numPr>
        <w:spacing w:before="120" w:after="120" w:line="276" w:lineRule="auto"/>
        <w:contextualSpacing w:val="0"/>
        <w:rPr>
          <w:rFonts w:ascii="Arial" w:eastAsia="Times New Roman" w:hAnsi="Arial" w:cs="Arial"/>
          <w:sz w:val="22"/>
          <w:szCs w:val="22"/>
          <w14:ligatures w14:val="none"/>
        </w:rPr>
      </w:pPr>
      <w:r w:rsidRPr="00FD6ABE">
        <w:rPr>
          <w:rFonts w:ascii="Arial" w:eastAsia="Times New Roman" w:hAnsi="Arial" w:cs="Arial"/>
          <w:sz w:val="22"/>
          <w:szCs w:val="22"/>
          <w14:ligatures w14:val="none"/>
        </w:rPr>
        <w:t>Minor errors in data entry that don't affect the overall data analysis or conclusions of the study</w:t>
      </w:r>
    </w:p>
    <w:p w14:paraId="150425F3" w14:textId="77777777" w:rsidR="00A70889" w:rsidRPr="00FD6ABE" w:rsidRDefault="00A70889" w:rsidP="00245429">
      <w:pPr>
        <w:pStyle w:val="ListParagraph"/>
        <w:numPr>
          <w:ilvl w:val="0"/>
          <w:numId w:val="27"/>
        </w:numPr>
        <w:spacing w:before="120" w:after="120" w:line="276" w:lineRule="auto"/>
        <w:contextualSpacing w:val="0"/>
        <w:rPr>
          <w:rFonts w:ascii="Arial" w:eastAsia="Times New Roman" w:hAnsi="Arial" w:cs="Arial"/>
          <w:sz w:val="22"/>
          <w:szCs w:val="22"/>
          <w14:ligatures w14:val="none"/>
        </w:rPr>
      </w:pPr>
      <w:r w:rsidRPr="00FD6ABE">
        <w:rPr>
          <w:rFonts w:ascii="Arial" w:eastAsia="Times New Roman" w:hAnsi="Arial" w:cs="Arial"/>
          <w:sz w:val="22"/>
          <w:szCs w:val="22"/>
          <w14:ligatures w14:val="none"/>
        </w:rPr>
        <w:lastRenderedPageBreak/>
        <w:t>Dates are missing or incorrect on an informed consent form, but the consent process itself was followed correctly</w:t>
      </w:r>
    </w:p>
    <w:p w14:paraId="5B309592" w14:textId="77777777" w:rsidR="00A70889" w:rsidRPr="00FD6ABE" w:rsidRDefault="00A70889" w:rsidP="00245429">
      <w:pPr>
        <w:pStyle w:val="ListParagraph"/>
        <w:numPr>
          <w:ilvl w:val="0"/>
          <w:numId w:val="27"/>
        </w:numPr>
        <w:spacing w:before="120" w:after="120" w:line="276" w:lineRule="auto"/>
        <w:contextualSpacing w:val="0"/>
        <w:rPr>
          <w:rFonts w:ascii="Arial" w:eastAsia="Times New Roman" w:hAnsi="Arial" w:cs="Arial"/>
          <w:sz w:val="22"/>
          <w:szCs w:val="22"/>
          <w14:ligatures w14:val="none"/>
        </w:rPr>
      </w:pPr>
      <w:r w:rsidRPr="00FD6ABE">
        <w:rPr>
          <w:rFonts w:ascii="Arial" w:eastAsia="Times New Roman" w:hAnsi="Arial" w:cs="Arial"/>
          <w:sz w:val="22"/>
          <w:szCs w:val="22"/>
          <w14:ligatures w14:val="none"/>
        </w:rPr>
        <w:t>Modifications to recruitment materials that don't materially alter the information presented to potential participants</w:t>
      </w:r>
    </w:p>
    <w:p w14:paraId="71E6E804" w14:textId="77777777" w:rsidR="00A70889" w:rsidRPr="00FD6ABE" w:rsidRDefault="00A70889" w:rsidP="00245429">
      <w:pPr>
        <w:pStyle w:val="ListParagraph"/>
        <w:numPr>
          <w:ilvl w:val="0"/>
          <w:numId w:val="27"/>
        </w:numPr>
        <w:shd w:val="clear" w:color="auto" w:fill="FFFFFF"/>
        <w:spacing w:before="120" w:after="120" w:line="276" w:lineRule="auto"/>
        <w:contextualSpacing w:val="0"/>
        <w:rPr>
          <w:rFonts w:ascii="Arial" w:eastAsia="Times New Roman" w:hAnsi="Arial" w:cs="Arial"/>
          <w:kern w:val="0"/>
          <w:sz w:val="22"/>
          <w:szCs w:val="22"/>
          <w14:ligatures w14:val="none"/>
        </w:rPr>
      </w:pPr>
      <w:r w:rsidRPr="00FD6ABE">
        <w:rPr>
          <w:rFonts w:ascii="Arial" w:eastAsia="Times New Roman" w:hAnsi="Arial" w:cs="Arial"/>
          <w:kern w:val="0"/>
          <w:sz w:val="22"/>
          <w:szCs w:val="22"/>
          <w14:ligatures w14:val="none"/>
        </w:rPr>
        <w:t>Over-enrollment of the locally IRB-approved number of subjects in the following circumstances:</w:t>
      </w:r>
    </w:p>
    <w:p w14:paraId="425FC376" w14:textId="77777777" w:rsidR="00A70889" w:rsidRPr="00245429" w:rsidRDefault="00A70889" w:rsidP="00245429">
      <w:pPr>
        <w:pStyle w:val="ListParagraph"/>
        <w:numPr>
          <w:ilvl w:val="1"/>
          <w:numId w:val="27"/>
        </w:numPr>
        <w:spacing w:before="120" w:after="120" w:line="276" w:lineRule="auto"/>
        <w:contextualSpacing w:val="0"/>
        <w:rPr>
          <w:rFonts w:ascii="Arial" w:eastAsia="Times New Roman" w:hAnsi="Arial" w:cs="Arial"/>
          <w:sz w:val="22"/>
          <w:szCs w:val="22"/>
          <w14:ligatures w14:val="none"/>
        </w:rPr>
      </w:pPr>
      <w:r w:rsidRPr="00417C9D">
        <w:rPr>
          <w:rFonts w:ascii="Arial" w:eastAsia="Times New Roman" w:hAnsi="Arial" w:cs="Arial"/>
          <w:b/>
          <w:bCs/>
          <w:color w:val="0061AF"/>
          <w:sz w:val="22"/>
          <w:szCs w:val="22"/>
          <w14:ligatures w14:val="none"/>
        </w:rPr>
        <w:t>Minimal risk studies</w:t>
      </w:r>
      <w:r w:rsidRPr="00245429">
        <w:rPr>
          <w:rFonts w:ascii="Arial" w:eastAsia="Times New Roman" w:hAnsi="Arial" w:cs="Arial"/>
          <w:sz w:val="22"/>
          <w:szCs w:val="22"/>
          <w14:ligatures w14:val="none"/>
        </w:rPr>
        <w:t>, regardless of percentage over-enrolled;</w:t>
      </w:r>
    </w:p>
    <w:p w14:paraId="6EDA4FD2" w14:textId="77777777" w:rsidR="00A70889" w:rsidRPr="00245429" w:rsidRDefault="00A70889" w:rsidP="00245429">
      <w:pPr>
        <w:pStyle w:val="ListParagraph"/>
        <w:numPr>
          <w:ilvl w:val="1"/>
          <w:numId w:val="27"/>
        </w:numPr>
        <w:spacing w:before="120" w:after="120" w:line="276" w:lineRule="auto"/>
        <w:contextualSpacing w:val="0"/>
        <w:rPr>
          <w:rFonts w:ascii="Arial" w:eastAsia="Times New Roman" w:hAnsi="Arial" w:cs="Arial"/>
          <w:b/>
          <w:bCs/>
          <w:sz w:val="22"/>
          <w:szCs w:val="22"/>
          <w14:ligatures w14:val="none"/>
        </w:rPr>
      </w:pPr>
      <w:r w:rsidRPr="00417C9D">
        <w:rPr>
          <w:rFonts w:ascii="Arial" w:eastAsia="Times New Roman" w:hAnsi="Arial" w:cs="Arial"/>
          <w:b/>
          <w:bCs/>
          <w:color w:val="0061AF"/>
          <w:sz w:val="22"/>
          <w:szCs w:val="22"/>
          <w14:ligatures w14:val="none"/>
        </w:rPr>
        <w:t>Greater than minimal risk studies</w:t>
      </w:r>
      <w:r w:rsidRPr="00417C9D">
        <w:rPr>
          <w:rFonts w:ascii="Arial" w:eastAsia="Times New Roman" w:hAnsi="Arial" w:cs="Arial"/>
          <w:sz w:val="22"/>
          <w:szCs w:val="22"/>
          <w14:ligatures w14:val="none"/>
        </w:rPr>
        <w:t>, if:</w:t>
      </w:r>
    </w:p>
    <w:p w14:paraId="48350FD8" w14:textId="26284DB1" w:rsidR="00A70889" w:rsidRPr="00417C9D" w:rsidRDefault="00A70889" w:rsidP="00417C9D">
      <w:pPr>
        <w:spacing w:before="120" w:after="0" w:line="276" w:lineRule="auto"/>
        <w:ind w:left="1440"/>
        <w:rPr>
          <w:rFonts w:ascii="Arial" w:eastAsia="Times New Roman" w:hAnsi="Arial" w:cs="Arial"/>
          <w:b/>
          <w:bCs/>
          <w:i/>
          <w:iCs/>
          <w14:ligatures w14:val="none"/>
        </w:rPr>
      </w:pPr>
      <w:r w:rsidRPr="00417C9D">
        <w:rPr>
          <w:rFonts w:ascii="Arial" w:eastAsia="Times New Roman" w:hAnsi="Arial" w:cs="Arial"/>
          <w14:ligatures w14:val="none"/>
        </w:rPr>
        <w:t xml:space="preserve">The total over-enrollment is </w:t>
      </w:r>
      <w:r w:rsidRPr="000F1935">
        <w:rPr>
          <w:rFonts w:ascii="Arial" w:eastAsia="Times New Roman" w:hAnsi="Arial" w:cs="Arial"/>
          <w:color w:val="000000" w:themeColor="text1"/>
          <w:u w:val="single"/>
          <w14:ligatures w14:val="none"/>
        </w:rPr>
        <w:t>less than or equal to 25%</w:t>
      </w:r>
      <w:r w:rsidRPr="000F1935">
        <w:rPr>
          <w:rFonts w:ascii="Arial" w:eastAsia="Times New Roman" w:hAnsi="Arial" w:cs="Arial"/>
          <w:color w:val="000000" w:themeColor="text1"/>
          <w14:ligatures w14:val="none"/>
        </w:rPr>
        <w:t xml:space="preserve"> </w:t>
      </w:r>
      <w:r w:rsidRPr="00417C9D">
        <w:rPr>
          <w:rFonts w:ascii="Arial" w:eastAsia="Times New Roman" w:hAnsi="Arial" w:cs="Arial"/>
          <w14:ligatures w14:val="none"/>
        </w:rPr>
        <w:t>of the locally approved target</w:t>
      </w:r>
    </w:p>
    <w:p w14:paraId="3DAC089B" w14:textId="6A4510BE" w:rsidR="00417C9D" w:rsidRPr="00C314F2" w:rsidRDefault="00417C9D" w:rsidP="00417C9D">
      <w:pPr>
        <w:spacing w:line="276" w:lineRule="auto"/>
        <w:jc w:val="center"/>
        <w:rPr>
          <w:rFonts w:ascii="Arial" w:eastAsia="Calibri" w:hAnsi="Arial" w:cs="Arial"/>
          <w:b/>
          <w:i/>
          <w:snapToGrid w:val="0"/>
          <w:color w:val="0061AF"/>
        </w:rPr>
      </w:pPr>
      <w:r w:rsidRPr="00C314F2">
        <w:rPr>
          <w:rFonts w:ascii="Arial" w:eastAsia="Calibri" w:hAnsi="Arial" w:cs="Arial"/>
          <w:b/>
          <w:i/>
          <w:snapToGrid w:val="0"/>
          <w:color w:val="0061AF"/>
        </w:rPr>
        <w:t>AND</w:t>
      </w:r>
    </w:p>
    <w:p w14:paraId="36ADA251" w14:textId="4BBB7A14" w:rsidR="00A70889" w:rsidRPr="00417C9D" w:rsidRDefault="00A70889" w:rsidP="00417C9D">
      <w:pPr>
        <w:spacing w:before="120" w:after="120" w:line="276" w:lineRule="auto"/>
        <w:ind w:left="1440"/>
        <w:rPr>
          <w:rFonts w:ascii="Arial" w:eastAsia="Times New Roman" w:hAnsi="Arial" w:cs="Arial"/>
          <w14:ligatures w14:val="none"/>
        </w:rPr>
      </w:pPr>
      <w:r w:rsidRPr="00245429">
        <w:rPr>
          <w:rFonts w:ascii="Arial" w:eastAsia="Times New Roman" w:hAnsi="Arial" w:cs="Arial"/>
          <w14:ligatures w14:val="none"/>
        </w:rPr>
        <w:t xml:space="preserve">The total number of over-enrolled participants is </w:t>
      </w:r>
      <w:r w:rsidRPr="000F1935">
        <w:rPr>
          <w:rFonts w:ascii="Arial" w:eastAsia="Times New Roman" w:hAnsi="Arial" w:cs="Arial"/>
          <w:color w:val="000000" w:themeColor="text1"/>
          <w:u w:val="single"/>
          <w14:ligatures w14:val="none"/>
        </w:rPr>
        <w:t>no more than 3 participants</w:t>
      </w:r>
    </w:p>
    <w:p w14:paraId="7AF2CC99" w14:textId="377EE59C" w:rsidR="00417C9D" w:rsidRPr="00C314F2" w:rsidRDefault="00417C9D" w:rsidP="00417C9D">
      <w:pPr>
        <w:spacing w:before="240" w:line="276" w:lineRule="auto"/>
        <w:jc w:val="center"/>
        <w:rPr>
          <w:rFonts w:ascii="Arial" w:eastAsia="Calibri" w:hAnsi="Arial" w:cs="Arial"/>
          <w:b/>
          <w:i/>
          <w:snapToGrid w:val="0"/>
          <w:color w:val="0061AF"/>
        </w:rPr>
      </w:pPr>
      <w:r w:rsidRPr="00C314F2">
        <w:rPr>
          <w:rFonts w:ascii="Arial" w:eastAsia="Calibri" w:hAnsi="Arial" w:cs="Arial"/>
          <w:b/>
          <w:i/>
          <w:snapToGrid w:val="0"/>
          <w:color w:val="0061AF"/>
        </w:rPr>
        <w:t>OR</w:t>
      </w:r>
    </w:p>
    <w:p w14:paraId="2598BE06" w14:textId="629F9F4D" w:rsidR="00A70889" w:rsidRPr="00245429" w:rsidRDefault="00A70889" w:rsidP="00417C9D">
      <w:pPr>
        <w:spacing w:before="120" w:after="120" w:line="276" w:lineRule="auto"/>
        <w:ind w:left="1440"/>
        <w:rPr>
          <w:rFonts w:ascii="Arial" w:eastAsia="Times New Roman" w:hAnsi="Arial" w:cs="Arial"/>
          <w14:ligatures w14:val="none"/>
        </w:rPr>
      </w:pPr>
      <w:r w:rsidRPr="00245429">
        <w:rPr>
          <w:rFonts w:ascii="Arial" w:eastAsia="Times New Roman" w:hAnsi="Arial" w:cs="Arial"/>
          <w14:ligatures w14:val="none"/>
        </w:rPr>
        <w:t xml:space="preserve">In studies with </w:t>
      </w:r>
      <w:r w:rsidRPr="000F1935">
        <w:rPr>
          <w:rFonts w:ascii="Arial" w:eastAsia="Times New Roman" w:hAnsi="Arial" w:cs="Arial"/>
          <w:color w:val="000000" w:themeColor="text1"/>
          <w:u w:val="single"/>
          <w14:ligatures w14:val="none"/>
        </w:rPr>
        <w:t>≤10 participants</w:t>
      </w:r>
      <w:r w:rsidRPr="00245429">
        <w:rPr>
          <w:rFonts w:ascii="Arial" w:eastAsia="Times New Roman" w:hAnsi="Arial" w:cs="Arial"/>
          <w14:ligatures w14:val="none"/>
        </w:rPr>
        <w:t xml:space="preserve">, the over-enrollment does </w:t>
      </w:r>
      <w:r w:rsidRPr="000F1935">
        <w:rPr>
          <w:rFonts w:ascii="Arial" w:eastAsia="Times New Roman" w:hAnsi="Arial" w:cs="Arial"/>
          <w:color w:val="000000" w:themeColor="text1"/>
          <w:u w:val="single"/>
          <w14:ligatures w14:val="none"/>
        </w:rPr>
        <w:t>not exceed 1 additional participant</w:t>
      </w:r>
      <w:r w:rsidRPr="00245429">
        <w:rPr>
          <w:rFonts w:ascii="Arial" w:eastAsia="Times New Roman" w:hAnsi="Arial" w:cs="Arial"/>
          <w14:ligatures w14:val="none"/>
        </w:rPr>
        <w:t>, unless there is a compelling justification.</w:t>
      </w:r>
    </w:p>
    <w:p w14:paraId="5CB86542" w14:textId="4FA7720A" w:rsidR="00245429" w:rsidRPr="00245429" w:rsidRDefault="00245429" w:rsidP="00245429">
      <w:pPr>
        <w:spacing w:before="360" w:after="120" w:line="276" w:lineRule="auto"/>
        <w:rPr>
          <w:rFonts w:ascii="Arial" w:eastAsia="Calibri" w:hAnsi="Arial" w:cs="Arial"/>
          <w:b/>
          <w:iCs/>
          <w:caps/>
          <w:color w:val="002C73"/>
        </w:rPr>
      </w:pPr>
      <w:r w:rsidRPr="00245429">
        <w:rPr>
          <w:rFonts w:ascii="Arial" w:eastAsia="Calibri" w:hAnsi="Arial" w:cs="Arial"/>
          <w:b/>
          <w:iCs/>
          <w:caps/>
          <w:color w:val="002C73"/>
        </w:rPr>
        <w:t>major deviations</w:t>
      </w:r>
    </w:p>
    <w:p w14:paraId="0204FEEB" w14:textId="4E8E443D" w:rsidR="00A70889" w:rsidRPr="00245429" w:rsidRDefault="00A70889" w:rsidP="00245429">
      <w:pPr>
        <w:shd w:val="clear" w:color="auto" w:fill="FFFFFF"/>
        <w:spacing w:before="100" w:beforeAutospacing="1" w:after="100" w:afterAutospacing="1" w:line="276" w:lineRule="auto"/>
        <w:textAlignment w:val="baseline"/>
        <w:rPr>
          <w:rFonts w:ascii="Arial" w:eastAsia="Times New Roman" w:hAnsi="Arial" w:cs="Arial"/>
          <w:color w:val="000000"/>
          <w:kern w:val="0"/>
          <w14:ligatures w14:val="none"/>
        </w:rPr>
      </w:pPr>
      <w:r w:rsidRPr="00245429">
        <w:rPr>
          <w:rFonts w:ascii="Arial" w:eastAsia="Times New Roman" w:hAnsi="Arial" w:cs="Arial"/>
          <w:color w:val="000000"/>
          <w:kern w:val="0"/>
          <w14:ligatures w14:val="none"/>
        </w:rPr>
        <w:t xml:space="preserve">Deviations that do require prompt reporting, on the other hand, are typically events that cause or could cause harm to subjects or others or that impact the fidelity of the research. They require prompt reporting as Reportable Events (as they may constitute </w:t>
      </w:r>
      <w:hyperlink w:anchor="_*OHRP_considers_unanticipated">
        <w:r w:rsidRPr="000F1935">
          <w:rPr>
            <w:rFonts w:ascii="Arial" w:eastAsia="Times New Roman" w:hAnsi="Arial" w:cs="Arial"/>
            <w:b/>
            <w:bCs/>
            <w:i/>
            <w:iCs/>
            <w:color w:val="002C73"/>
            <w:kern w:val="0"/>
            <w:u w:val="single"/>
            <w14:ligatures w14:val="none"/>
          </w:rPr>
          <w:t>Unanticipated Problems</w:t>
        </w:r>
      </w:hyperlink>
      <w:r w:rsidRPr="00245429">
        <w:rPr>
          <w:rFonts w:ascii="Arial" w:eastAsia="Times New Roman" w:hAnsi="Arial" w:cs="Arial"/>
          <w:color w:val="000000"/>
          <w:kern w:val="0"/>
          <w14:ligatures w14:val="none"/>
        </w:rPr>
        <w:t xml:space="preserve">). </w:t>
      </w:r>
    </w:p>
    <w:p w14:paraId="14B43472" w14:textId="77777777" w:rsidR="00A70889" w:rsidRPr="00FD6ABE" w:rsidRDefault="00A70889" w:rsidP="00FD6ABE">
      <w:pPr>
        <w:shd w:val="clear" w:color="auto" w:fill="FFFFFF"/>
        <w:spacing w:before="240" w:line="276" w:lineRule="auto"/>
        <w:ind w:left="360"/>
        <w:textAlignment w:val="baseline"/>
        <w:rPr>
          <w:rFonts w:ascii="Arial" w:eastAsia="Times New Roman" w:hAnsi="Arial" w:cs="Arial"/>
          <w:color w:val="0061AF"/>
          <w:kern w:val="0"/>
          <w14:ligatures w14:val="none"/>
        </w:rPr>
      </w:pPr>
      <w:r w:rsidRPr="00FD6ABE">
        <w:rPr>
          <w:rFonts w:ascii="Arial" w:eastAsia="Times New Roman" w:hAnsi="Arial" w:cs="Arial"/>
          <w:color w:val="0061AF"/>
          <w:kern w:val="0"/>
          <w14:ligatures w14:val="none"/>
        </w:rPr>
        <w:t>Examples of Deviations that do require prompt reporting:</w:t>
      </w:r>
    </w:p>
    <w:p w14:paraId="604CC04C" w14:textId="77777777" w:rsidR="00A70889" w:rsidRPr="00FD6ABE" w:rsidRDefault="00A70889" w:rsidP="00245429">
      <w:pPr>
        <w:pStyle w:val="ListParagraph"/>
        <w:numPr>
          <w:ilvl w:val="0"/>
          <w:numId w:val="30"/>
        </w:numPr>
        <w:shd w:val="clear" w:color="auto" w:fill="FFFFFF"/>
        <w:spacing w:before="120" w:after="120" w:line="276" w:lineRule="auto"/>
        <w:contextualSpacing w:val="0"/>
        <w:textAlignment w:val="baseline"/>
        <w:rPr>
          <w:rFonts w:ascii="Arial" w:eastAsia="Times New Roman" w:hAnsi="Arial" w:cs="Arial"/>
          <w:kern w:val="0"/>
          <w:sz w:val="22"/>
          <w:szCs w:val="22"/>
          <w14:ligatures w14:val="none"/>
        </w:rPr>
      </w:pPr>
      <w:r w:rsidRPr="00FD6ABE">
        <w:rPr>
          <w:rFonts w:ascii="Arial" w:eastAsia="Times New Roman" w:hAnsi="Arial" w:cs="Arial"/>
          <w:kern w:val="0"/>
          <w:sz w:val="22"/>
          <w:szCs w:val="22"/>
          <w14:ligatures w14:val="none"/>
        </w:rPr>
        <w:t>Produce actual harm to a participant or others (an AE)</w:t>
      </w:r>
    </w:p>
    <w:p w14:paraId="7B7A0E01" w14:textId="62A8435E" w:rsidR="00A70889" w:rsidRPr="00FD6ABE" w:rsidRDefault="00A70889" w:rsidP="00245429">
      <w:pPr>
        <w:pStyle w:val="ListParagraph"/>
        <w:numPr>
          <w:ilvl w:val="0"/>
          <w:numId w:val="30"/>
        </w:numPr>
        <w:shd w:val="clear" w:color="auto" w:fill="FFFFFF"/>
        <w:spacing w:before="120" w:after="120" w:line="276" w:lineRule="auto"/>
        <w:contextualSpacing w:val="0"/>
        <w:textAlignment w:val="baseline"/>
        <w:rPr>
          <w:rFonts w:ascii="Arial" w:eastAsia="Times New Roman" w:hAnsi="Arial" w:cs="Arial"/>
          <w:kern w:val="0"/>
          <w:sz w:val="22"/>
          <w:szCs w:val="22"/>
          <w14:ligatures w14:val="none"/>
        </w:rPr>
      </w:pPr>
      <w:r w:rsidRPr="00FD6ABE">
        <w:rPr>
          <w:rFonts w:ascii="Arial" w:eastAsia="Times New Roman" w:hAnsi="Arial" w:cs="Arial"/>
          <w:kern w:val="0"/>
          <w:sz w:val="22"/>
          <w:szCs w:val="22"/>
          <w14:ligatures w14:val="none"/>
        </w:rPr>
        <w:t>Have the potential to produce harm to a subject</w:t>
      </w:r>
      <w:r w:rsidR="00FD6ABE" w:rsidRPr="00FD6ABE">
        <w:rPr>
          <w:rFonts w:ascii="Arial" w:eastAsia="Times New Roman" w:hAnsi="Arial" w:cs="Arial"/>
          <w:kern w:val="0"/>
          <w:sz w:val="22"/>
          <w:szCs w:val="22"/>
          <w14:ligatures w14:val="none"/>
        </w:rPr>
        <w:t xml:space="preserve">                </w:t>
      </w:r>
    </w:p>
    <w:p w14:paraId="147839DF" w14:textId="77777777" w:rsidR="00A70889" w:rsidRPr="00FD6ABE" w:rsidRDefault="00A70889" w:rsidP="00245429">
      <w:pPr>
        <w:pStyle w:val="ListParagraph"/>
        <w:numPr>
          <w:ilvl w:val="0"/>
          <w:numId w:val="30"/>
        </w:numPr>
        <w:shd w:val="clear" w:color="auto" w:fill="FFFFFF"/>
        <w:spacing w:before="120" w:after="120" w:line="276" w:lineRule="auto"/>
        <w:contextualSpacing w:val="0"/>
        <w:textAlignment w:val="baseline"/>
        <w:rPr>
          <w:rFonts w:ascii="Arial" w:eastAsia="Times New Roman" w:hAnsi="Arial" w:cs="Arial"/>
          <w:kern w:val="0"/>
          <w:sz w:val="22"/>
          <w:szCs w:val="22"/>
          <w14:ligatures w14:val="none"/>
        </w:rPr>
      </w:pPr>
      <w:r w:rsidRPr="00FD6ABE">
        <w:rPr>
          <w:rFonts w:ascii="Arial" w:eastAsia="Times New Roman" w:hAnsi="Arial" w:cs="Arial"/>
          <w:kern w:val="0"/>
          <w:sz w:val="22"/>
          <w:szCs w:val="22"/>
          <w14:ligatures w14:val="none"/>
        </w:rPr>
        <w:t>Result in the enrollment of an ineligible subject</w:t>
      </w:r>
    </w:p>
    <w:p w14:paraId="6350DD14" w14:textId="77777777" w:rsidR="00A70889" w:rsidRPr="00FD6ABE" w:rsidRDefault="00A70889" w:rsidP="00245429">
      <w:pPr>
        <w:pStyle w:val="ListParagraph"/>
        <w:numPr>
          <w:ilvl w:val="0"/>
          <w:numId w:val="30"/>
        </w:numPr>
        <w:shd w:val="clear" w:color="auto" w:fill="FFFFFF"/>
        <w:spacing w:before="120" w:after="120" w:line="276" w:lineRule="auto"/>
        <w:contextualSpacing w:val="0"/>
        <w:textAlignment w:val="baseline"/>
        <w:rPr>
          <w:rFonts w:ascii="Arial" w:eastAsia="Times New Roman" w:hAnsi="Arial" w:cs="Arial"/>
          <w:kern w:val="0"/>
          <w:sz w:val="22"/>
          <w:szCs w:val="22"/>
          <w14:ligatures w14:val="none"/>
        </w:rPr>
      </w:pPr>
      <w:r w:rsidRPr="00FD6ABE">
        <w:rPr>
          <w:rFonts w:ascii="Arial" w:eastAsia="Times New Roman" w:hAnsi="Arial" w:cs="Arial"/>
          <w:kern w:val="0"/>
          <w:sz w:val="22"/>
          <w:szCs w:val="22"/>
          <w14:ligatures w14:val="none"/>
        </w:rPr>
        <w:t>Cause a subject to be withdrawn from the study</w:t>
      </w:r>
    </w:p>
    <w:p w14:paraId="303E2388" w14:textId="77777777" w:rsidR="00A70889" w:rsidRPr="00FD6ABE" w:rsidRDefault="00A70889" w:rsidP="00245429">
      <w:pPr>
        <w:pStyle w:val="ListParagraph"/>
        <w:numPr>
          <w:ilvl w:val="0"/>
          <w:numId w:val="30"/>
        </w:numPr>
        <w:shd w:val="clear" w:color="auto" w:fill="FFFFFF"/>
        <w:spacing w:before="120" w:after="120" w:line="276" w:lineRule="auto"/>
        <w:contextualSpacing w:val="0"/>
        <w:textAlignment w:val="baseline"/>
        <w:rPr>
          <w:rFonts w:ascii="Arial" w:eastAsia="Times New Roman" w:hAnsi="Arial" w:cs="Arial"/>
          <w:kern w:val="0"/>
          <w:sz w:val="22"/>
          <w:szCs w:val="22"/>
          <w14:ligatures w14:val="none"/>
        </w:rPr>
      </w:pPr>
      <w:r w:rsidRPr="00FD6ABE">
        <w:rPr>
          <w:rFonts w:ascii="Arial" w:eastAsia="Times New Roman" w:hAnsi="Arial" w:cs="Arial"/>
          <w:kern w:val="0"/>
          <w:sz w:val="22"/>
          <w:szCs w:val="22"/>
          <w14:ligatures w14:val="none"/>
        </w:rPr>
        <w:t>Prevent the subject from being evaluable for the study’s primary endpoint</w:t>
      </w:r>
    </w:p>
    <w:p w14:paraId="5AE5D506" w14:textId="77777777" w:rsidR="00A70889" w:rsidRPr="00FD6ABE" w:rsidRDefault="00A70889" w:rsidP="00245429">
      <w:pPr>
        <w:pStyle w:val="ListParagraph"/>
        <w:numPr>
          <w:ilvl w:val="0"/>
          <w:numId w:val="30"/>
        </w:numPr>
        <w:shd w:val="clear" w:color="auto" w:fill="FFFFFF"/>
        <w:spacing w:before="120" w:after="120" w:line="276" w:lineRule="auto"/>
        <w:contextualSpacing w:val="0"/>
        <w:textAlignment w:val="baseline"/>
        <w:rPr>
          <w:rFonts w:ascii="Arial" w:eastAsia="Times New Roman" w:hAnsi="Arial" w:cs="Arial"/>
          <w:kern w:val="0"/>
          <w:sz w:val="22"/>
          <w:szCs w:val="22"/>
          <w14:ligatures w14:val="none"/>
        </w:rPr>
      </w:pPr>
      <w:r w:rsidRPr="00FD6ABE">
        <w:rPr>
          <w:rFonts w:ascii="Arial" w:eastAsia="Times New Roman" w:hAnsi="Arial" w:cs="Arial"/>
          <w:kern w:val="0"/>
          <w:sz w:val="22"/>
          <w:szCs w:val="22"/>
          <w14:ligatures w14:val="none"/>
        </w:rPr>
        <w:t>Improper handling or disclosure of PHI (privacy violation)</w:t>
      </w:r>
    </w:p>
    <w:p w14:paraId="3E2A1EFF" w14:textId="77777777" w:rsidR="00A70889" w:rsidRPr="00FD6ABE" w:rsidRDefault="00A70889" w:rsidP="00245429">
      <w:pPr>
        <w:pStyle w:val="ListParagraph"/>
        <w:numPr>
          <w:ilvl w:val="0"/>
          <w:numId w:val="30"/>
        </w:numPr>
        <w:shd w:val="clear" w:color="auto" w:fill="FFFFFF"/>
        <w:spacing w:before="120" w:after="120" w:line="276" w:lineRule="auto"/>
        <w:contextualSpacing w:val="0"/>
        <w:rPr>
          <w:rFonts w:ascii="Arial" w:eastAsia="Times New Roman" w:hAnsi="Arial" w:cs="Arial"/>
          <w:kern w:val="0"/>
          <w:sz w:val="22"/>
          <w:szCs w:val="22"/>
          <w14:ligatures w14:val="none"/>
        </w:rPr>
      </w:pPr>
      <w:r w:rsidRPr="00FD6ABE">
        <w:rPr>
          <w:rFonts w:ascii="Arial" w:eastAsia="Times New Roman" w:hAnsi="Arial" w:cs="Arial"/>
          <w:kern w:val="0"/>
          <w:sz w:val="22"/>
          <w:szCs w:val="22"/>
          <w14:ligatures w14:val="none"/>
        </w:rPr>
        <w:t>Over-enrollment on greater than minimal risk studies where:</w:t>
      </w:r>
    </w:p>
    <w:p w14:paraId="70F3F1FA" w14:textId="461624A7" w:rsidR="00A70889" w:rsidRPr="00FD6ABE" w:rsidRDefault="00A70889" w:rsidP="00245429">
      <w:pPr>
        <w:pStyle w:val="ListParagraph"/>
        <w:numPr>
          <w:ilvl w:val="1"/>
          <w:numId w:val="30"/>
        </w:numPr>
        <w:spacing w:before="120" w:after="120" w:line="276" w:lineRule="auto"/>
        <w:contextualSpacing w:val="0"/>
        <w:rPr>
          <w:rFonts w:ascii="Arial" w:eastAsia="Times New Roman" w:hAnsi="Arial" w:cs="Arial"/>
          <w:sz w:val="22"/>
          <w:szCs w:val="22"/>
          <w14:ligatures w14:val="none"/>
        </w:rPr>
      </w:pPr>
      <w:r w:rsidRPr="00FD6ABE">
        <w:rPr>
          <w:rFonts w:ascii="Arial" w:eastAsia="Times New Roman" w:hAnsi="Arial" w:cs="Arial"/>
          <w:sz w:val="22"/>
          <w:szCs w:val="22"/>
          <w14:ligatures w14:val="none"/>
        </w:rPr>
        <w:t>The over-enrollment exceeds 25% or</w:t>
      </w:r>
    </w:p>
    <w:p w14:paraId="5996FFC0" w14:textId="77777777" w:rsidR="00A70889" w:rsidRPr="00FD6ABE" w:rsidRDefault="00A70889" w:rsidP="00245429">
      <w:pPr>
        <w:pStyle w:val="ListParagraph"/>
        <w:numPr>
          <w:ilvl w:val="1"/>
          <w:numId w:val="30"/>
        </w:numPr>
        <w:spacing w:before="120" w:after="120" w:line="276" w:lineRule="auto"/>
        <w:contextualSpacing w:val="0"/>
        <w:rPr>
          <w:rFonts w:ascii="Arial" w:eastAsia="Times New Roman" w:hAnsi="Arial" w:cs="Arial"/>
          <w:sz w:val="22"/>
          <w:szCs w:val="22"/>
          <w14:ligatures w14:val="none"/>
        </w:rPr>
      </w:pPr>
      <w:r w:rsidRPr="00FD6ABE">
        <w:rPr>
          <w:rFonts w:ascii="Arial" w:eastAsia="Times New Roman" w:hAnsi="Arial" w:cs="Arial"/>
          <w:sz w:val="22"/>
          <w:szCs w:val="22"/>
          <w14:ligatures w14:val="none"/>
        </w:rPr>
        <w:t>More than 3 additional participants are enrolled or</w:t>
      </w:r>
    </w:p>
    <w:p w14:paraId="3C314F8F" w14:textId="65F874D4" w:rsidR="00A70889" w:rsidRPr="00FD6ABE" w:rsidRDefault="00A70889" w:rsidP="00245429">
      <w:pPr>
        <w:pStyle w:val="ListParagraph"/>
        <w:numPr>
          <w:ilvl w:val="1"/>
          <w:numId w:val="30"/>
        </w:numPr>
        <w:spacing w:before="120" w:after="120" w:line="276" w:lineRule="auto"/>
        <w:contextualSpacing w:val="0"/>
        <w:rPr>
          <w:rFonts w:ascii="Arial" w:eastAsia="Times New Roman" w:hAnsi="Arial" w:cs="Arial"/>
          <w:sz w:val="22"/>
          <w:szCs w:val="22"/>
          <w14:ligatures w14:val="none"/>
        </w:rPr>
      </w:pPr>
      <w:r w:rsidRPr="00FD6ABE">
        <w:rPr>
          <w:rFonts w:ascii="Arial" w:eastAsia="Times New Roman" w:hAnsi="Arial" w:cs="Arial"/>
          <w:sz w:val="22"/>
          <w:szCs w:val="22"/>
          <w14:ligatures w14:val="none"/>
        </w:rPr>
        <w:t>Over-enrollment occurs without a clear justification or plan for managing increased risk, burden, or data integrity.</w:t>
      </w:r>
    </w:p>
    <w:p w14:paraId="207C2469" w14:textId="11A014D7" w:rsidR="00FD6ABE" w:rsidRDefault="00FD6ABE" w:rsidP="00245429">
      <w:pPr>
        <w:shd w:val="clear" w:color="auto" w:fill="FFFFFF"/>
        <w:spacing w:before="100" w:beforeAutospacing="1" w:after="100" w:afterAutospacing="1" w:line="276" w:lineRule="auto"/>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lastRenderedPageBreak/>
        <w:t>(</w:t>
      </w:r>
      <w:r w:rsidR="00A70889" w:rsidRPr="00245429">
        <w:rPr>
          <w:rFonts w:ascii="Arial" w:eastAsia="Times New Roman" w:hAnsi="Arial" w:cs="Arial"/>
          <w:color w:val="000000"/>
          <w:kern w:val="0"/>
          <w14:ligatures w14:val="none"/>
        </w:rPr>
        <w:t xml:space="preserve">Please note that </w:t>
      </w:r>
      <w:r w:rsidR="006D67BC" w:rsidRPr="00245429">
        <w:rPr>
          <w:rFonts w:ascii="Arial" w:eastAsia="Times New Roman" w:hAnsi="Arial" w:cs="Arial"/>
          <w:color w:val="000000"/>
          <w:kern w:val="0"/>
          <w14:ligatures w14:val="none"/>
        </w:rPr>
        <w:t>Saint Luke’s</w:t>
      </w:r>
      <w:r w:rsidR="00A70889" w:rsidRPr="00245429">
        <w:rPr>
          <w:rFonts w:ascii="Arial" w:eastAsia="Times New Roman" w:hAnsi="Arial" w:cs="Arial"/>
          <w:color w:val="000000"/>
          <w:kern w:val="0"/>
          <w14:ligatures w14:val="none"/>
        </w:rPr>
        <w:t xml:space="preserve"> IRB generally requires the Investigator to propose corrective and preventative actions to correct the deviation and prevent future recurrences.</w:t>
      </w:r>
      <w:r>
        <w:rPr>
          <w:rFonts w:ascii="Arial" w:eastAsia="Times New Roman" w:hAnsi="Arial" w:cs="Arial"/>
          <w:color w:val="000000"/>
          <w:kern w:val="0"/>
          <w14:ligatures w14:val="none"/>
        </w:rPr>
        <w:t>)</w:t>
      </w:r>
    </w:p>
    <w:p w14:paraId="4AC5F7F1" w14:textId="6C2D49FB" w:rsidR="00A70889" w:rsidRPr="00245429" w:rsidRDefault="00A70889" w:rsidP="00245429">
      <w:pPr>
        <w:shd w:val="clear" w:color="auto" w:fill="FFFFFF"/>
        <w:spacing w:before="100" w:beforeAutospacing="1" w:after="100" w:afterAutospacing="1" w:line="276" w:lineRule="auto"/>
        <w:textAlignment w:val="baseline"/>
        <w:rPr>
          <w:rFonts w:ascii="Arial" w:eastAsia="Times New Roman" w:hAnsi="Arial" w:cs="Arial"/>
          <w:color w:val="000000"/>
          <w:kern w:val="0"/>
          <w14:ligatures w14:val="none"/>
        </w:rPr>
      </w:pPr>
      <w:r w:rsidRPr="00245429">
        <w:rPr>
          <w:rFonts w:ascii="Arial" w:eastAsia="Times New Roman" w:hAnsi="Arial" w:cs="Arial"/>
          <w:color w:val="000000"/>
          <w:kern w:val="0"/>
          <w14:ligatures w14:val="none"/>
        </w:rPr>
        <w:t xml:space="preserve">The corrective/preventative actions need to include specific steps taken by the Principal Investigator (who is responsible for the conduct and oversight of the study) to correct the situation and ensure compliance with the IRB-approved research plan going forward. </w:t>
      </w:r>
    </w:p>
    <w:p w14:paraId="065C0BCB" w14:textId="14A1C432" w:rsidR="00245429" w:rsidRPr="00245429" w:rsidRDefault="00245429" w:rsidP="00245429">
      <w:pPr>
        <w:spacing w:before="360" w:after="120" w:line="276" w:lineRule="auto"/>
        <w:rPr>
          <w:rFonts w:ascii="Arial" w:eastAsia="Calibri" w:hAnsi="Arial" w:cs="Arial"/>
          <w:b/>
          <w:iCs/>
          <w:caps/>
          <w:color w:val="002C73"/>
        </w:rPr>
      </w:pPr>
      <w:r w:rsidRPr="00245429">
        <w:rPr>
          <w:rFonts w:ascii="Arial" w:eastAsia="Calibri" w:hAnsi="Arial" w:cs="Arial"/>
          <w:b/>
          <w:iCs/>
          <w:caps/>
          <w:color w:val="002C73"/>
        </w:rPr>
        <w:t>PLANNED PROTOCOL DEVIATIONS</w:t>
      </w:r>
    </w:p>
    <w:p w14:paraId="272309D8" w14:textId="0ED69F11" w:rsidR="00A70889" w:rsidRPr="00245429" w:rsidRDefault="00A70889" w:rsidP="00245429">
      <w:pPr>
        <w:shd w:val="clear" w:color="auto" w:fill="FFFFFF"/>
        <w:spacing w:before="100" w:beforeAutospacing="1" w:after="100" w:afterAutospacing="1" w:line="276" w:lineRule="auto"/>
        <w:textAlignment w:val="baseline"/>
        <w:rPr>
          <w:rFonts w:ascii="Arial" w:eastAsia="Times New Roman" w:hAnsi="Arial" w:cs="Arial"/>
          <w:kern w:val="0"/>
          <w14:ligatures w14:val="none"/>
        </w:rPr>
      </w:pPr>
      <w:r w:rsidRPr="00245429">
        <w:rPr>
          <w:rFonts w:ascii="Arial" w:eastAsia="Times New Roman" w:hAnsi="Arial" w:cs="Arial"/>
          <w:kern w:val="0"/>
          <w14:ligatures w14:val="none"/>
        </w:rPr>
        <w:t xml:space="preserve">A one-time amendment to a protocol is sometimes referred to as a planned protocol deviation. Some of the protocol modifications proposed as part of a one-time amendment (planned protocol deviation) are relatively minor </w:t>
      </w:r>
      <w:r w:rsidR="00FD6ABE">
        <w:rPr>
          <w:rFonts w:ascii="Arial" w:eastAsia="Times New Roman" w:hAnsi="Arial" w:cs="Arial"/>
          <w:kern w:val="0"/>
          <w14:ligatures w14:val="none"/>
        </w:rPr>
        <w:t>(</w:t>
      </w:r>
      <w:r w:rsidRPr="00245429">
        <w:rPr>
          <w:rFonts w:ascii="Arial" w:eastAsia="Times New Roman" w:hAnsi="Arial" w:cs="Arial"/>
          <w:kern w:val="0"/>
          <w14:ligatures w14:val="none"/>
        </w:rPr>
        <w:t>e.g., changes to study visit windows to accommodate subjects' schedules, obtaining a second blood sample after loss of a prior sample</w:t>
      </w:r>
      <w:r w:rsidR="00FD6ABE">
        <w:rPr>
          <w:rFonts w:ascii="Arial" w:eastAsia="Times New Roman" w:hAnsi="Arial" w:cs="Arial"/>
          <w:kern w:val="0"/>
          <w14:ligatures w14:val="none"/>
        </w:rPr>
        <w:t>)</w:t>
      </w:r>
      <w:r w:rsidRPr="00245429">
        <w:rPr>
          <w:rFonts w:ascii="Arial" w:eastAsia="Times New Roman" w:hAnsi="Arial" w:cs="Arial"/>
          <w:kern w:val="0"/>
          <w14:ligatures w14:val="none"/>
        </w:rPr>
        <w:t xml:space="preserve"> while others are major and involve modifications to the inclusion or exclusion criteria or other study procedures.</w:t>
      </w:r>
    </w:p>
    <w:p w14:paraId="7AEF8B90" w14:textId="4CDCDD3C" w:rsidR="00A70889" w:rsidRPr="00245429" w:rsidRDefault="00A70889" w:rsidP="00245429">
      <w:pPr>
        <w:shd w:val="clear" w:color="auto" w:fill="FFFFFF"/>
        <w:spacing w:before="100" w:beforeAutospacing="1" w:after="100" w:afterAutospacing="1" w:line="276" w:lineRule="auto"/>
        <w:textAlignment w:val="baseline"/>
        <w:rPr>
          <w:rFonts w:ascii="Arial" w:eastAsia="Times New Roman" w:hAnsi="Arial" w:cs="Arial"/>
          <w:kern w:val="0"/>
          <w14:ligatures w14:val="none"/>
        </w:rPr>
      </w:pPr>
      <w:r w:rsidRPr="00245429">
        <w:rPr>
          <w:rFonts w:ascii="Arial" w:eastAsia="Times New Roman" w:hAnsi="Arial" w:cs="Arial"/>
          <w:kern w:val="0"/>
          <w14:ligatures w14:val="none"/>
        </w:rPr>
        <w:t xml:space="preserve">Both the study sponsor and </w:t>
      </w:r>
      <w:r w:rsidR="006D67BC" w:rsidRPr="00245429">
        <w:rPr>
          <w:rFonts w:ascii="Arial" w:eastAsia="Times New Roman" w:hAnsi="Arial" w:cs="Arial"/>
          <w:kern w:val="0"/>
          <w14:ligatures w14:val="none"/>
        </w:rPr>
        <w:t>Saint Luke’s</w:t>
      </w:r>
      <w:r w:rsidRPr="00245429">
        <w:rPr>
          <w:rFonts w:ascii="Arial" w:eastAsia="Times New Roman" w:hAnsi="Arial" w:cs="Arial"/>
          <w:kern w:val="0"/>
          <w14:ligatures w14:val="none"/>
        </w:rPr>
        <w:t xml:space="preserve"> IRB need to approve a one-time amendment prior to implementing the change. If the investigator anticipates that the circumstance is likely to arise again, then the protocol should be amended to add sufficient flexibility to avoid the need for additional one-time amendments.</w:t>
      </w:r>
    </w:p>
    <w:p w14:paraId="52CA201A" w14:textId="77777777" w:rsidR="00A70889" w:rsidRPr="00245429" w:rsidRDefault="00A70889" w:rsidP="00245429">
      <w:pPr>
        <w:shd w:val="clear" w:color="auto" w:fill="FFFFFF"/>
        <w:spacing w:before="240" w:line="276" w:lineRule="auto"/>
        <w:textAlignment w:val="baseline"/>
        <w:rPr>
          <w:rFonts w:ascii="Arial" w:eastAsia="Times New Roman" w:hAnsi="Arial" w:cs="Arial"/>
          <w:b/>
          <w:bCs/>
          <w:kern w:val="0"/>
          <w14:ligatures w14:val="none"/>
        </w:rPr>
      </w:pPr>
      <w:r w:rsidRPr="00245429">
        <w:rPr>
          <w:rFonts w:ascii="Arial" w:eastAsia="Times New Roman" w:hAnsi="Arial" w:cs="Arial"/>
          <w:b/>
          <w:bCs/>
          <w:kern w:val="0"/>
          <w14:ligatures w14:val="none"/>
        </w:rPr>
        <w:t>What are the requirements for a one-time amendment (planned protocol deviation)?</w:t>
      </w:r>
    </w:p>
    <w:p w14:paraId="2F3E6AF9" w14:textId="369BCDAB" w:rsidR="00A70889" w:rsidRPr="00245429" w:rsidRDefault="00A70889" w:rsidP="00245429">
      <w:pPr>
        <w:shd w:val="clear" w:color="auto" w:fill="FFFFFF"/>
        <w:spacing w:before="100" w:beforeAutospacing="1" w:after="100" w:afterAutospacing="1" w:line="276" w:lineRule="auto"/>
        <w:textAlignment w:val="baseline"/>
        <w:rPr>
          <w:rFonts w:ascii="Arial" w:eastAsia="Times New Roman" w:hAnsi="Arial" w:cs="Arial"/>
          <w:kern w:val="0"/>
          <w14:ligatures w14:val="none"/>
        </w:rPr>
      </w:pPr>
      <w:r w:rsidRPr="00245429">
        <w:rPr>
          <w:rFonts w:ascii="Arial" w:eastAsia="Times New Roman" w:hAnsi="Arial" w:cs="Arial"/>
          <w:kern w:val="0"/>
          <w14:ligatures w14:val="none"/>
        </w:rPr>
        <w:t>All changes to an IRB-approved research plan require prospective</w:t>
      </w:r>
      <w:r w:rsidR="006D67BC" w:rsidRPr="00245429">
        <w:rPr>
          <w:rFonts w:ascii="Arial" w:eastAsia="Times New Roman" w:hAnsi="Arial" w:cs="Arial"/>
          <w:kern w:val="0"/>
          <w14:ligatures w14:val="none"/>
        </w:rPr>
        <w:t xml:space="preserve"> Saint Luke’s</w:t>
      </w:r>
      <w:r w:rsidRPr="00245429">
        <w:rPr>
          <w:rFonts w:ascii="Arial" w:eastAsia="Times New Roman" w:hAnsi="Arial" w:cs="Arial"/>
          <w:kern w:val="0"/>
          <w14:ligatures w14:val="none"/>
        </w:rPr>
        <w:t xml:space="preserve"> IRB review and approval. </w:t>
      </w:r>
    </w:p>
    <w:p w14:paraId="089AB105" w14:textId="77777777" w:rsidR="00A70889" w:rsidRPr="00FD6ABE" w:rsidRDefault="00A70889" w:rsidP="00FD6ABE">
      <w:pPr>
        <w:shd w:val="clear" w:color="auto" w:fill="FFFFFF"/>
        <w:spacing w:before="240" w:line="276" w:lineRule="auto"/>
        <w:ind w:left="360"/>
        <w:textAlignment w:val="baseline"/>
        <w:rPr>
          <w:rFonts w:ascii="Arial" w:eastAsia="Times New Roman" w:hAnsi="Arial" w:cs="Arial"/>
          <w:color w:val="0061AF"/>
          <w:kern w:val="0"/>
          <w14:ligatures w14:val="none"/>
        </w:rPr>
      </w:pPr>
      <w:r w:rsidRPr="00FD6ABE">
        <w:rPr>
          <w:rFonts w:ascii="Arial" w:eastAsia="Times New Roman" w:hAnsi="Arial" w:cs="Arial"/>
          <w:color w:val="0061AF"/>
          <w:kern w:val="0"/>
          <w14:ligatures w14:val="none"/>
        </w:rPr>
        <w:t>Common examples include:</w:t>
      </w:r>
    </w:p>
    <w:p w14:paraId="3185C923" w14:textId="77777777" w:rsidR="00A70889" w:rsidRPr="00245429" w:rsidRDefault="00A70889" w:rsidP="00245429">
      <w:pPr>
        <w:numPr>
          <w:ilvl w:val="0"/>
          <w:numId w:val="22"/>
        </w:numPr>
        <w:shd w:val="clear" w:color="auto" w:fill="FFFFFF"/>
        <w:spacing w:before="120" w:after="120" w:line="276" w:lineRule="auto"/>
        <w:textAlignment w:val="baseline"/>
        <w:rPr>
          <w:rFonts w:ascii="Arial" w:eastAsia="Times New Roman" w:hAnsi="Arial" w:cs="Arial"/>
          <w:kern w:val="0"/>
          <w14:ligatures w14:val="none"/>
        </w:rPr>
      </w:pPr>
      <w:r w:rsidRPr="00245429">
        <w:rPr>
          <w:rFonts w:ascii="Arial" w:eastAsia="Times New Roman" w:hAnsi="Arial" w:cs="Arial"/>
          <w:kern w:val="0"/>
          <w14:ligatures w14:val="none"/>
        </w:rPr>
        <w:t>Change in the inclusion or exclusion criteria (most require full-board review)</w:t>
      </w:r>
    </w:p>
    <w:p w14:paraId="7481FFA8" w14:textId="77777777" w:rsidR="00A70889" w:rsidRPr="00245429" w:rsidRDefault="00A70889" w:rsidP="00245429">
      <w:pPr>
        <w:numPr>
          <w:ilvl w:val="0"/>
          <w:numId w:val="22"/>
        </w:numPr>
        <w:shd w:val="clear" w:color="auto" w:fill="FFFFFF"/>
        <w:spacing w:before="120" w:after="120" w:line="276" w:lineRule="auto"/>
        <w:textAlignment w:val="baseline"/>
        <w:rPr>
          <w:rFonts w:ascii="Arial" w:eastAsia="Times New Roman" w:hAnsi="Arial" w:cs="Arial"/>
          <w:kern w:val="0"/>
          <w14:ligatures w14:val="none"/>
        </w:rPr>
      </w:pPr>
      <w:r w:rsidRPr="00245429">
        <w:rPr>
          <w:rFonts w:ascii="Arial" w:eastAsia="Times New Roman" w:hAnsi="Arial" w:cs="Arial"/>
          <w:kern w:val="0"/>
          <w14:ligatures w14:val="none"/>
        </w:rPr>
        <w:t>Change in study procedures, including omission of a study procedure (most can be expedited)</w:t>
      </w:r>
    </w:p>
    <w:p w14:paraId="3A39B5DC" w14:textId="77777777" w:rsidR="00A70889" w:rsidRPr="00245429" w:rsidRDefault="00A70889" w:rsidP="00245429">
      <w:pPr>
        <w:numPr>
          <w:ilvl w:val="0"/>
          <w:numId w:val="22"/>
        </w:numPr>
        <w:shd w:val="clear" w:color="auto" w:fill="FFFFFF"/>
        <w:spacing w:before="120" w:after="120" w:line="276" w:lineRule="auto"/>
        <w:textAlignment w:val="baseline"/>
        <w:rPr>
          <w:rFonts w:ascii="Arial" w:eastAsia="Times New Roman" w:hAnsi="Arial" w:cs="Arial"/>
          <w:kern w:val="0"/>
          <w14:ligatures w14:val="none"/>
        </w:rPr>
      </w:pPr>
      <w:r w:rsidRPr="00245429">
        <w:rPr>
          <w:rFonts w:ascii="Arial" w:eastAsia="Times New Roman" w:hAnsi="Arial" w:cs="Arial"/>
          <w:kern w:val="0"/>
          <w14:ligatures w14:val="none"/>
        </w:rPr>
        <w:t>Change in the timing of study procedures such as a change to the procedure window (most can be expedited)</w:t>
      </w:r>
    </w:p>
    <w:p w14:paraId="53028D11" w14:textId="77777777" w:rsidR="00A70889" w:rsidRPr="00245429" w:rsidRDefault="00A70889" w:rsidP="00245429">
      <w:pPr>
        <w:numPr>
          <w:ilvl w:val="0"/>
          <w:numId w:val="22"/>
        </w:numPr>
        <w:shd w:val="clear" w:color="auto" w:fill="FFFFFF"/>
        <w:spacing w:before="120" w:after="120" w:line="276" w:lineRule="auto"/>
        <w:textAlignment w:val="baseline"/>
        <w:rPr>
          <w:rFonts w:ascii="Arial" w:eastAsia="Times New Roman" w:hAnsi="Arial" w:cs="Arial"/>
          <w:kern w:val="0"/>
          <w14:ligatures w14:val="none"/>
        </w:rPr>
      </w:pPr>
      <w:r w:rsidRPr="00245429">
        <w:rPr>
          <w:rFonts w:ascii="Arial" w:eastAsia="Times New Roman" w:hAnsi="Arial" w:cs="Arial"/>
          <w:kern w:val="0"/>
          <w14:ligatures w14:val="none"/>
        </w:rPr>
        <w:t>Requests to continue the participation of a subject who has violated adherence requirements or who was enrolled incorrectly.</w:t>
      </w:r>
    </w:p>
    <w:p w14:paraId="4C3E3284" w14:textId="02D71C34" w:rsidR="00245429" w:rsidRPr="00245429" w:rsidRDefault="00245429" w:rsidP="00245429">
      <w:pPr>
        <w:keepNext/>
        <w:keepLines/>
        <w:spacing w:before="240" w:line="276" w:lineRule="auto"/>
        <w:outlineLvl w:val="2"/>
        <w:rPr>
          <w:rFonts w:ascii="Arial" w:eastAsia="Yu Gothic Light" w:hAnsi="Arial" w:cs="Arial"/>
          <w:color w:val="0F4761"/>
          <w14:ligatures w14:val="none"/>
        </w:rPr>
      </w:pPr>
      <w:r w:rsidRPr="00245429">
        <w:rPr>
          <w:rFonts w:ascii="Arial" w:eastAsia="Times New Roman" w:hAnsi="Arial" w:cs="Arial"/>
          <w:b/>
          <w:bCs/>
          <w:kern w:val="0"/>
          <w14:ligatures w14:val="none"/>
        </w:rPr>
        <w:t>Emergency Planned Protocol Deviations</w:t>
      </w:r>
    </w:p>
    <w:p w14:paraId="7AC94F49" w14:textId="3A10010C" w:rsidR="00A70889" w:rsidRPr="00245429" w:rsidRDefault="00A70889" w:rsidP="00245429">
      <w:pPr>
        <w:spacing w:line="276" w:lineRule="auto"/>
        <w:rPr>
          <w:rFonts w:ascii="Arial" w:eastAsia="Times New Roman" w:hAnsi="Arial" w:cs="Arial"/>
          <w14:ligatures w14:val="none"/>
        </w:rPr>
      </w:pPr>
      <w:r w:rsidRPr="00245429">
        <w:rPr>
          <w:rFonts w:ascii="Arial" w:eastAsia="Times New Roman" w:hAnsi="Arial" w:cs="Arial"/>
          <w14:ligatures w14:val="none"/>
        </w:rPr>
        <w:t xml:space="preserve">Emergency deviations occur when a departure from the protocol is required immediately to protect the life, physical well-being of a participant or to avoid an immediate hazard.  In such cases, there is no time to prospectively seek approval from </w:t>
      </w:r>
      <w:r w:rsidR="006D67BC" w:rsidRPr="00245429">
        <w:rPr>
          <w:rFonts w:ascii="Arial" w:eastAsia="Times New Roman" w:hAnsi="Arial" w:cs="Arial"/>
          <w14:ligatures w14:val="none"/>
        </w:rPr>
        <w:t>Saint Luke’s</w:t>
      </w:r>
      <w:r w:rsidRPr="00245429">
        <w:rPr>
          <w:rFonts w:ascii="Arial" w:eastAsia="Times New Roman" w:hAnsi="Arial" w:cs="Arial"/>
          <w14:ligatures w14:val="none"/>
        </w:rPr>
        <w:t xml:space="preserve"> IRB.</w:t>
      </w:r>
    </w:p>
    <w:p w14:paraId="17F3A200" w14:textId="57630B9B" w:rsidR="00A70889" w:rsidRPr="00245429" w:rsidRDefault="00A70889" w:rsidP="00245429">
      <w:pPr>
        <w:spacing w:line="276" w:lineRule="auto"/>
        <w:rPr>
          <w:rFonts w:ascii="Arial" w:eastAsia="Times New Roman" w:hAnsi="Arial" w:cs="Arial"/>
          <w14:ligatures w14:val="none"/>
        </w:rPr>
      </w:pPr>
      <w:r w:rsidRPr="00245429">
        <w:rPr>
          <w:rFonts w:ascii="Arial" w:eastAsia="Times New Roman" w:hAnsi="Arial" w:cs="Arial"/>
          <w14:ligatures w14:val="none"/>
        </w:rPr>
        <w:t xml:space="preserve">In this situation, the Principal Investigator may implement the departure from the protocol but must report it to </w:t>
      </w:r>
      <w:r w:rsidR="006D67BC" w:rsidRPr="00245429">
        <w:rPr>
          <w:rFonts w:ascii="Arial" w:eastAsia="Times New Roman" w:hAnsi="Arial" w:cs="Arial"/>
          <w14:ligatures w14:val="none"/>
        </w:rPr>
        <w:t>Saint Luke’s</w:t>
      </w:r>
      <w:r w:rsidRPr="00245429">
        <w:rPr>
          <w:rFonts w:ascii="Arial" w:eastAsia="Times New Roman" w:hAnsi="Arial" w:cs="Arial"/>
          <w14:ligatures w14:val="none"/>
        </w:rPr>
        <w:t xml:space="preserve"> IRB as soon as possible (no later than 5 days after </w:t>
      </w:r>
      <w:r w:rsidRPr="00245429">
        <w:rPr>
          <w:rFonts w:ascii="Arial" w:eastAsia="Times New Roman" w:hAnsi="Arial" w:cs="Arial"/>
          <w14:ligatures w14:val="none"/>
        </w:rPr>
        <w:lastRenderedPageBreak/>
        <w:t xml:space="preserve">implementation).  As part of the submission to </w:t>
      </w:r>
      <w:r w:rsidR="006D67BC" w:rsidRPr="00245429">
        <w:rPr>
          <w:rFonts w:ascii="Arial" w:eastAsia="Times New Roman" w:hAnsi="Arial" w:cs="Arial"/>
          <w14:ligatures w14:val="none"/>
        </w:rPr>
        <w:t>Saint Luke’s</w:t>
      </w:r>
      <w:r w:rsidRPr="00245429">
        <w:rPr>
          <w:rFonts w:ascii="Arial" w:eastAsia="Times New Roman" w:hAnsi="Arial" w:cs="Arial"/>
          <w14:ligatures w14:val="none"/>
        </w:rPr>
        <w:t xml:space="preserve"> IRB, the Principal Investigator must provide rationale for why prior IRB approval was not possible.  </w:t>
      </w:r>
    </w:p>
    <w:p w14:paraId="35FD57CC" w14:textId="49DB7AAA" w:rsidR="00245429" w:rsidRPr="00245429" w:rsidRDefault="00245429" w:rsidP="00245429">
      <w:pPr>
        <w:spacing w:before="360" w:after="120" w:line="276" w:lineRule="auto"/>
        <w:rPr>
          <w:rFonts w:ascii="Arial" w:eastAsia="Calibri" w:hAnsi="Arial" w:cs="Arial"/>
          <w:b/>
          <w:iCs/>
          <w:caps/>
          <w:color w:val="002C73"/>
        </w:rPr>
      </w:pPr>
      <w:r w:rsidRPr="00245429">
        <w:rPr>
          <w:rFonts w:ascii="Arial" w:eastAsia="Calibri" w:hAnsi="Arial" w:cs="Arial"/>
          <w:b/>
          <w:iCs/>
          <w:caps/>
          <w:color w:val="002C73"/>
        </w:rPr>
        <w:t>P</w:t>
      </w:r>
      <w:r w:rsidRPr="00245429">
        <w:rPr>
          <w:rFonts w:ascii="Arial" w:eastAsia="Calibri" w:hAnsi="Arial" w:cs="Arial"/>
          <w:b/>
          <w:iCs/>
          <w:caps/>
          <w:color w:val="002C73"/>
        </w:rPr>
        <w:t>rotocol deviation faqs</w:t>
      </w:r>
    </w:p>
    <w:p w14:paraId="4E49ED69" w14:textId="433D6F7A" w:rsidR="00245429" w:rsidRPr="00245429" w:rsidRDefault="00245429" w:rsidP="00245429">
      <w:pPr>
        <w:keepNext/>
        <w:keepLines/>
        <w:spacing w:before="240" w:line="276" w:lineRule="auto"/>
        <w:outlineLvl w:val="2"/>
        <w:rPr>
          <w:rFonts w:ascii="Arial" w:eastAsia="Yu Gothic Light" w:hAnsi="Arial" w:cs="Arial"/>
          <w:color w:val="0F4761"/>
          <w14:ligatures w14:val="none"/>
        </w:rPr>
      </w:pPr>
      <w:r w:rsidRPr="00245429">
        <w:rPr>
          <w:rFonts w:ascii="Arial" w:eastAsia="Times New Roman" w:hAnsi="Arial" w:cs="Arial"/>
          <w:b/>
          <w:bCs/>
          <w:kern w:val="0"/>
          <w14:ligatures w14:val="none"/>
        </w:rPr>
        <w:t>Are all Protocol Deviations reportable?</w:t>
      </w:r>
    </w:p>
    <w:p w14:paraId="7777C1B2" w14:textId="77777777" w:rsidR="00A70889" w:rsidRPr="00245429" w:rsidRDefault="00A70889" w:rsidP="00245429">
      <w:pPr>
        <w:spacing w:line="276" w:lineRule="auto"/>
        <w:rPr>
          <w:rFonts w:ascii="Arial" w:eastAsia="Times New Roman" w:hAnsi="Arial" w:cs="Arial"/>
          <w14:ligatures w14:val="none"/>
        </w:rPr>
      </w:pPr>
      <w:r w:rsidRPr="00245429">
        <w:rPr>
          <w:rFonts w:ascii="Arial" w:eastAsia="Times New Roman" w:hAnsi="Arial" w:cs="Arial"/>
          <w14:ligatures w14:val="none"/>
        </w:rPr>
        <w:t>No, only Protocol Deviations attributable to the study team or sponsor; or attributable to a participant if the deviation results in a safety issue or increased risk of harm (e.g., missed safety labs, incorrect self-administered dose of study drug, participant or partner becomes pregnant when study involves potential risks to fetus).</w:t>
      </w:r>
    </w:p>
    <w:p w14:paraId="484ECDFD" w14:textId="77777777" w:rsidR="00A70889" w:rsidRPr="00245429" w:rsidRDefault="00A70889" w:rsidP="00245429">
      <w:pPr>
        <w:spacing w:line="276" w:lineRule="auto"/>
        <w:rPr>
          <w:rFonts w:ascii="Arial" w:eastAsia="Times New Roman" w:hAnsi="Arial" w:cs="Arial"/>
          <w14:ligatures w14:val="none"/>
        </w:rPr>
      </w:pPr>
      <w:r w:rsidRPr="00245429">
        <w:rPr>
          <w:rFonts w:ascii="Arial" w:eastAsia="Times New Roman" w:hAnsi="Arial" w:cs="Arial"/>
          <w14:ligatures w14:val="none"/>
        </w:rPr>
        <w:t xml:space="preserve">Protocol deviations attributable to a participant that do </w:t>
      </w:r>
      <w:r w:rsidRPr="00245429">
        <w:rPr>
          <w:rFonts w:ascii="Arial" w:eastAsia="Times New Roman" w:hAnsi="Arial" w:cs="Arial"/>
          <w:b/>
          <w:bCs/>
          <w14:ligatures w14:val="none"/>
        </w:rPr>
        <w:t>NOT</w:t>
      </w:r>
      <w:r w:rsidRPr="00245429">
        <w:rPr>
          <w:rFonts w:ascii="Arial" w:eastAsia="Times New Roman" w:hAnsi="Arial" w:cs="Arial"/>
          <w14:ligatures w14:val="none"/>
        </w:rPr>
        <w:t xml:space="preserve"> result in a safety issue or increased risk of harm (e.g., nonconsequential out of window visit) do not require reporting.</w:t>
      </w:r>
    </w:p>
    <w:p w14:paraId="366F21B6" w14:textId="77777777" w:rsidR="00245429" w:rsidRPr="00245429" w:rsidRDefault="00245429" w:rsidP="00245429">
      <w:pPr>
        <w:keepNext/>
        <w:keepLines/>
        <w:spacing w:before="240" w:line="276" w:lineRule="auto"/>
        <w:outlineLvl w:val="2"/>
        <w:rPr>
          <w:rFonts w:ascii="Arial" w:eastAsia="Times New Roman" w:hAnsi="Arial" w:cs="Arial"/>
          <w:b/>
          <w:bCs/>
          <w:kern w:val="0"/>
          <w14:ligatures w14:val="none"/>
        </w:rPr>
      </w:pPr>
      <w:r w:rsidRPr="00245429">
        <w:rPr>
          <w:rFonts w:ascii="Arial" w:eastAsia="Times New Roman" w:hAnsi="Arial" w:cs="Arial"/>
          <w:b/>
          <w:bCs/>
          <w:kern w:val="0"/>
          <w14:ligatures w14:val="none"/>
        </w:rPr>
        <w:t>When and how should a PI report protocol deviations to the Saint Luke’s IRB and the sponsor?</w:t>
      </w:r>
    </w:p>
    <w:p w14:paraId="6A8271E7" w14:textId="224E3C03" w:rsidR="00A70889" w:rsidRPr="00245429" w:rsidRDefault="00A70889" w:rsidP="00245429">
      <w:pPr>
        <w:spacing w:line="276" w:lineRule="auto"/>
        <w:rPr>
          <w:rFonts w:ascii="Arial" w:eastAsia="Times New Roman" w:hAnsi="Arial" w:cs="Arial"/>
          <w14:ligatures w14:val="none"/>
        </w:rPr>
      </w:pPr>
      <w:r w:rsidRPr="00245429">
        <w:rPr>
          <w:rFonts w:ascii="Arial" w:eastAsia="Times New Roman" w:hAnsi="Arial" w:cs="Arial"/>
          <w14:ligatures w14:val="none"/>
        </w:rPr>
        <w:t xml:space="preserve">There are several types of protocol deviations recognized by the </w:t>
      </w:r>
      <w:r w:rsidR="009466BB" w:rsidRPr="00245429">
        <w:rPr>
          <w:rFonts w:ascii="Arial" w:eastAsia="Times New Roman" w:hAnsi="Arial" w:cs="Arial"/>
          <w14:ligatures w14:val="none"/>
        </w:rPr>
        <w:t xml:space="preserve">Saint Luke’s </w:t>
      </w:r>
      <w:r w:rsidRPr="00245429">
        <w:rPr>
          <w:rFonts w:ascii="Arial" w:eastAsia="Times New Roman" w:hAnsi="Arial" w:cs="Arial"/>
          <w14:ligatures w14:val="none"/>
        </w:rPr>
        <w:t>IRB, and each type has a different IRB reporting requirement:</w:t>
      </w:r>
    </w:p>
    <w:p w14:paraId="2958ABDF" w14:textId="4EF3861A" w:rsidR="00A70889" w:rsidRPr="00417C9D" w:rsidRDefault="00245429" w:rsidP="00417C9D">
      <w:pPr>
        <w:spacing w:line="276" w:lineRule="auto"/>
        <w:ind w:left="720"/>
        <w:rPr>
          <w:rFonts w:ascii="Arial" w:eastAsia="Times New Roman" w:hAnsi="Arial" w:cs="Arial"/>
          <w:color w:val="0061AF"/>
          <w14:ligatures w14:val="none"/>
        </w:rPr>
      </w:pPr>
      <w:r w:rsidRPr="00417C9D">
        <w:rPr>
          <w:rFonts w:ascii="Arial" w:eastAsia="Times New Roman" w:hAnsi="Arial" w:cs="Arial"/>
          <w:i/>
          <w:iCs/>
          <w:color w:val="0061AF"/>
          <w14:ligatures w14:val="none"/>
        </w:rPr>
        <w:t>A</w:t>
      </w:r>
      <w:r w:rsidR="00A70889" w:rsidRPr="00417C9D">
        <w:rPr>
          <w:rFonts w:ascii="Arial" w:eastAsia="Times New Roman" w:hAnsi="Arial" w:cs="Arial"/>
          <w:i/>
          <w:iCs/>
          <w:color w:val="0061AF"/>
          <w14:ligatures w14:val="none"/>
        </w:rPr>
        <w:t>.</w:t>
      </w:r>
      <w:r w:rsidR="00A70889" w:rsidRPr="00417C9D">
        <w:rPr>
          <w:rFonts w:ascii="Arial" w:eastAsia="Times New Roman" w:hAnsi="Arial" w:cs="Arial"/>
          <w:color w:val="0061AF"/>
          <w14:ligatures w14:val="none"/>
        </w:rPr>
        <w:t xml:space="preserve">    Emergency Deviations require reporting to </w:t>
      </w:r>
      <w:r w:rsidR="006D67BC" w:rsidRPr="00417C9D">
        <w:rPr>
          <w:rFonts w:ascii="Arial" w:eastAsia="Times New Roman" w:hAnsi="Arial" w:cs="Arial"/>
          <w:color w:val="0061AF"/>
          <w14:ligatures w14:val="none"/>
        </w:rPr>
        <w:t>Saint Luke’s</w:t>
      </w:r>
      <w:r w:rsidR="00A70889" w:rsidRPr="00417C9D">
        <w:rPr>
          <w:rFonts w:ascii="Arial" w:eastAsia="Times New Roman" w:hAnsi="Arial" w:cs="Arial"/>
          <w:color w:val="0061AF"/>
          <w14:ligatures w14:val="none"/>
        </w:rPr>
        <w:t xml:space="preserve"> IRB promptly after they occur</w:t>
      </w:r>
    </w:p>
    <w:p w14:paraId="49C654A4" w14:textId="7F1ACA29" w:rsidR="00A70889" w:rsidRPr="00C314F2" w:rsidRDefault="00A70889" w:rsidP="00C314F2">
      <w:pPr>
        <w:spacing w:line="276" w:lineRule="auto"/>
        <w:ind w:left="720"/>
        <w:rPr>
          <w:rFonts w:ascii="Arial" w:eastAsia="Times New Roman" w:hAnsi="Arial" w:cs="Arial"/>
          <w14:ligatures w14:val="none"/>
        </w:rPr>
      </w:pPr>
      <w:r w:rsidRPr="00C314F2">
        <w:rPr>
          <w:rFonts w:ascii="Arial" w:eastAsia="Times New Roman" w:hAnsi="Arial" w:cs="Arial"/>
          <w14:ligatures w14:val="none"/>
        </w:rPr>
        <w:t xml:space="preserve">The sponsor and the IRB of </w:t>
      </w:r>
      <w:r w:rsidR="006D67BC" w:rsidRPr="00C314F2">
        <w:rPr>
          <w:rFonts w:ascii="Arial" w:eastAsia="Times New Roman" w:hAnsi="Arial" w:cs="Arial"/>
          <w14:ligatures w14:val="none"/>
        </w:rPr>
        <w:t>R</w:t>
      </w:r>
      <w:r w:rsidRPr="00C314F2">
        <w:rPr>
          <w:rFonts w:ascii="Arial" w:eastAsia="Times New Roman" w:hAnsi="Arial" w:cs="Arial"/>
          <w14:ligatures w14:val="none"/>
        </w:rPr>
        <w:t xml:space="preserve">ecord must be notified as soon as possible, but not later than 5 days after the </w:t>
      </w:r>
      <w:bookmarkStart w:id="0" w:name="_Int_u8lKgpH2"/>
      <w:r w:rsidRPr="00C314F2">
        <w:rPr>
          <w:rFonts w:ascii="Arial" w:eastAsia="Times New Roman" w:hAnsi="Arial" w:cs="Arial"/>
          <w14:ligatures w14:val="none"/>
        </w:rPr>
        <w:t>emergency situation</w:t>
      </w:r>
      <w:bookmarkEnd w:id="0"/>
      <w:r w:rsidRPr="00C314F2">
        <w:rPr>
          <w:rFonts w:ascii="Arial" w:eastAsia="Times New Roman" w:hAnsi="Arial" w:cs="Arial"/>
          <w14:ligatures w14:val="none"/>
        </w:rPr>
        <w:t xml:space="preserve"> occurred (</w:t>
      </w:r>
      <w:r w:rsidRPr="00C314F2">
        <w:rPr>
          <w:rFonts w:ascii="Arial" w:eastAsia="Times New Roman" w:hAnsi="Arial" w:cs="Arial"/>
          <w:i/>
          <w:iCs/>
          <w:color w:val="0092D2"/>
          <w14:ligatures w14:val="none"/>
        </w:rPr>
        <w:t>21 CFR 812.150(a)(4)</w:t>
      </w:r>
      <w:r w:rsidRPr="00C314F2">
        <w:rPr>
          <w:rFonts w:ascii="Arial" w:eastAsia="Times New Roman" w:hAnsi="Arial" w:cs="Arial"/>
          <w14:ligatures w14:val="none"/>
        </w:rPr>
        <w:t>)</w:t>
      </w:r>
      <w:r w:rsidRPr="00C314F2">
        <w:rPr>
          <w:rFonts w:ascii="Arial" w:eastAsia="Times New Roman" w:hAnsi="Arial" w:cs="Arial"/>
          <w:color w:val="0092D2"/>
          <w14:ligatures w14:val="none"/>
        </w:rPr>
        <w:t>**</w:t>
      </w:r>
      <w:r w:rsidRPr="00C314F2">
        <w:rPr>
          <w:rFonts w:ascii="Arial" w:eastAsia="Times New Roman" w:hAnsi="Arial" w:cs="Arial"/>
          <w14:ligatures w14:val="none"/>
        </w:rPr>
        <w:t>.  The PI must submit the deviation in iMedRIS as a reportable event application and include the rationale for why prior IRB approval was not possible. Deviations of this nature are always considered to be unanticipated problems involving risks to subjects or others.</w:t>
      </w:r>
    </w:p>
    <w:p w14:paraId="45176868" w14:textId="2E0D47F5" w:rsidR="00C314F2" w:rsidRPr="00C314F2" w:rsidRDefault="00A70889" w:rsidP="00C314F2">
      <w:pPr>
        <w:spacing w:line="276" w:lineRule="auto"/>
        <w:ind w:left="720"/>
        <w:rPr>
          <w:rFonts w:ascii="Arial" w:eastAsia="Times New Roman" w:hAnsi="Arial" w:cs="Arial"/>
          <w:i/>
          <w:iCs/>
          <w:color w:val="0092D2"/>
          <w14:ligatures w14:val="none"/>
        </w:rPr>
      </w:pPr>
      <w:r w:rsidRPr="00C314F2">
        <w:rPr>
          <w:rFonts w:ascii="Arial" w:eastAsia="Times New Roman" w:hAnsi="Arial" w:cs="Arial"/>
          <w:i/>
          <w:iCs/>
          <w:color w:val="0092D2"/>
          <w14:ligatures w14:val="none"/>
        </w:rPr>
        <w:t xml:space="preserve">** The reporting standard in 21 CFR 812.150(a)(4), which applies to studies involving Investigational Device Exemptions, shall apply broadly to all emergency deviations at </w:t>
      </w:r>
      <w:r w:rsidR="00417C9D" w:rsidRPr="00C314F2">
        <w:rPr>
          <w:rFonts w:ascii="Arial" w:eastAsia="Times New Roman" w:hAnsi="Arial" w:cs="Arial"/>
          <w:i/>
          <w:iCs/>
          <w:color w:val="0092D2"/>
          <w14:ligatures w14:val="none"/>
        </w:rPr>
        <w:t>Saint Luke’s</w:t>
      </w:r>
      <w:r w:rsidRPr="00C314F2">
        <w:rPr>
          <w:rFonts w:ascii="Arial" w:eastAsia="Times New Roman" w:hAnsi="Arial" w:cs="Arial"/>
          <w:i/>
          <w:iCs/>
          <w:color w:val="0092D2"/>
          <w14:ligatures w14:val="none"/>
        </w:rPr>
        <w:t>.</w:t>
      </w:r>
    </w:p>
    <w:p w14:paraId="0A20ED3D" w14:textId="7911DBED" w:rsidR="00A70889" w:rsidRPr="00417C9D" w:rsidRDefault="00245429" w:rsidP="00417C9D">
      <w:pPr>
        <w:spacing w:line="276" w:lineRule="auto"/>
        <w:ind w:left="720"/>
        <w:rPr>
          <w:rFonts w:ascii="Arial" w:eastAsia="Times New Roman" w:hAnsi="Arial" w:cs="Arial"/>
          <w:color w:val="0061AF"/>
          <w14:ligatures w14:val="none"/>
        </w:rPr>
      </w:pPr>
      <w:r w:rsidRPr="00417C9D">
        <w:rPr>
          <w:rFonts w:ascii="Arial" w:eastAsia="Times New Roman" w:hAnsi="Arial" w:cs="Arial"/>
          <w:i/>
          <w:iCs/>
          <w:color w:val="0061AF"/>
          <w14:ligatures w14:val="none"/>
        </w:rPr>
        <w:t>B</w:t>
      </w:r>
      <w:r w:rsidR="00A70889" w:rsidRPr="00417C9D">
        <w:rPr>
          <w:rFonts w:ascii="Arial" w:eastAsia="Times New Roman" w:hAnsi="Arial" w:cs="Arial"/>
          <w:i/>
          <w:iCs/>
          <w:color w:val="0061AF"/>
          <w14:ligatures w14:val="none"/>
        </w:rPr>
        <w:t>.</w:t>
      </w:r>
      <w:r w:rsidR="00A70889" w:rsidRPr="00417C9D">
        <w:rPr>
          <w:rFonts w:ascii="Arial" w:eastAsia="Times New Roman" w:hAnsi="Arial" w:cs="Arial"/>
          <w:color w:val="0061AF"/>
          <w14:ligatures w14:val="none"/>
        </w:rPr>
        <w:t xml:space="preserve">     Major, non-emergent deviations require approval by </w:t>
      </w:r>
      <w:r w:rsidR="006D67BC" w:rsidRPr="00417C9D">
        <w:rPr>
          <w:rFonts w:ascii="Arial" w:eastAsia="Times New Roman" w:hAnsi="Arial" w:cs="Arial"/>
          <w:color w:val="0061AF"/>
          <w14:ligatures w14:val="none"/>
        </w:rPr>
        <w:t>Saint Luke’s</w:t>
      </w:r>
      <w:r w:rsidR="00A70889" w:rsidRPr="00417C9D">
        <w:rPr>
          <w:rFonts w:ascii="Arial" w:eastAsia="Times New Roman" w:hAnsi="Arial" w:cs="Arial"/>
          <w:color w:val="0061AF"/>
          <w14:ligatures w14:val="none"/>
        </w:rPr>
        <w:t xml:space="preserve"> IRB before they occur</w:t>
      </w:r>
    </w:p>
    <w:p w14:paraId="2C39E5B3" w14:textId="20DD1E8F" w:rsidR="00A70889" w:rsidRPr="00245429" w:rsidRDefault="00A70889" w:rsidP="00417C9D">
      <w:pPr>
        <w:spacing w:line="276" w:lineRule="auto"/>
        <w:ind w:left="720"/>
        <w:rPr>
          <w:rFonts w:ascii="Arial" w:eastAsia="Times New Roman" w:hAnsi="Arial" w:cs="Arial"/>
          <w14:ligatures w14:val="none"/>
        </w:rPr>
      </w:pPr>
      <w:r w:rsidRPr="00245429">
        <w:rPr>
          <w:rFonts w:ascii="Arial" w:eastAsia="Times New Roman" w:hAnsi="Arial" w:cs="Arial"/>
          <w14:ligatures w14:val="none"/>
        </w:rPr>
        <w:t xml:space="preserve">Major, non-emergent deviations are planned deviations that represent a major change in the approved protocol.  These deviations are changes that </w:t>
      </w:r>
      <w:r w:rsidR="006D67BC" w:rsidRPr="00245429">
        <w:rPr>
          <w:rFonts w:ascii="Arial" w:eastAsia="Times New Roman" w:hAnsi="Arial" w:cs="Arial"/>
          <w14:ligatures w14:val="none"/>
        </w:rPr>
        <w:t>Saint Luke’s</w:t>
      </w:r>
      <w:r w:rsidRPr="00245429">
        <w:rPr>
          <w:rFonts w:ascii="Arial" w:eastAsia="Times New Roman" w:hAnsi="Arial" w:cs="Arial"/>
          <w14:ligatures w14:val="none"/>
        </w:rPr>
        <w:t xml:space="preserve"> IRB must approve before the proposed change is implemented.  </w:t>
      </w:r>
    </w:p>
    <w:p w14:paraId="442DC1C5" w14:textId="77777777" w:rsidR="00A70889" w:rsidRPr="004A7686" w:rsidRDefault="00A70889" w:rsidP="004A7686">
      <w:pPr>
        <w:spacing w:line="276" w:lineRule="auto"/>
        <w:ind w:left="1440"/>
        <w:rPr>
          <w:rFonts w:ascii="Arial" w:eastAsia="Times New Roman" w:hAnsi="Arial" w:cs="Arial"/>
          <w:i/>
          <w:iCs/>
          <w:color w:val="0061AF"/>
          <w14:ligatures w14:val="none"/>
        </w:rPr>
      </w:pPr>
      <w:r w:rsidRPr="004A7686">
        <w:rPr>
          <w:rFonts w:ascii="Arial" w:eastAsia="Times New Roman" w:hAnsi="Arial" w:cs="Arial"/>
          <w:i/>
          <w:iCs/>
          <w:color w:val="0061AF"/>
          <w14:ligatures w14:val="none"/>
        </w:rPr>
        <w:t xml:space="preserve">Examples include exceptions to eligibility criteria, exceptions to the form and manner of obtaining informed consent, and exceptions to the schedule of administration of an investigational product.  </w:t>
      </w:r>
    </w:p>
    <w:p w14:paraId="2A6F6FD2" w14:textId="1443837E" w:rsidR="00A70889" w:rsidRPr="00245429" w:rsidRDefault="00A70889" w:rsidP="00417C9D">
      <w:pPr>
        <w:spacing w:line="276" w:lineRule="auto"/>
        <w:ind w:left="720"/>
        <w:rPr>
          <w:rFonts w:ascii="Arial" w:eastAsia="Times New Roman" w:hAnsi="Arial" w:cs="Arial"/>
          <w14:ligatures w14:val="none"/>
        </w:rPr>
      </w:pPr>
      <w:r w:rsidRPr="00245429">
        <w:rPr>
          <w:rFonts w:ascii="Arial" w:eastAsia="Times New Roman" w:hAnsi="Arial" w:cs="Arial"/>
          <w14:ligatures w14:val="none"/>
        </w:rPr>
        <w:t xml:space="preserve">If a planned major, non-emergent deviation occurs without prior IRB approval, the event is non-compliance which must be reported promptly to </w:t>
      </w:r>
      <w:r w:rsidR="006D67BC" w:rsidRPr="00245429">
        <w:rPr>
          <w:rFonts w:ascii="Arial" w:eastAsia="Times New Roman" w:hAnsi="Arial" w:cs="Arial"/>
          <w14:ligatures w14:val="none"/>
        </w:rPr>
        <w:t>Saint Luke’s</w:t>
      </w:r>
      <w:r w:rsidRPr="00245429">
        <w:rPr>
          <w:rFonts w:ascii="Arial" w:eastAsia="Times New Roman" w:hAnsi="Arial" w:cs="Arial"/>
          <w14:ligatures w14:val="none"/>
        </w:rPr>
        <w:t xml:space="preserve"> IRB.  A PI’s failure to report promptly any major, non-emergent deviation for which the PI did not obtain prior </w:t>
      </w:r>
      <w:r w:rsidRPr="00245429">
        <w:rPr>
          <w:rFonts w:ascii="Arial" w:eastAsia="Times New Roman" w:hAnsi="Arial" w:cs="Arial"/>
          <w14:ligatures w14:val="none"/>
        </w:rPr>
        <w:lastRenderedPageBreak/>
        <w:t xml:space="preserve">approval is itself an incident of non-compliance.  Incidents of non-compliance will be managed in accordance with the </w:t>
      </w:r>
      <w:r w:rsidR="009466BB" w:rsidRPr="00245429">
        <w:rPr>
          <w:rFonts w:ascii="Arial" w:eastAsia="Times New Roman" w:hAnsi="Arial" w:cs="Arial"/>
          <w14:ligatures w14:val="none"/>
        </w:rPr>
        <w:t>S</w:t>
      </w:r>
      <w:r w:rsidR="006D67BC" w:rsidRPr="00245429">
        <w:rPr>
          <w:rFonts w:ascii="Arial" w:eastAsia="Times New Roman" w:hAnsi="Arial" w:cs="Arial"/>
          <w14:ligatures w14:val="none"/>
        </w:rPr>
        <w:t>aint Luke’s</w:t>
      </w:r>
      <w:r w:rsidRPr="00245429">
        <w:rPr>
          <w:rFonts w:ascii="Arial" w:eastAsia="Times New Roman" w:hAnsi="Arial" w:cs="Arial"/>
          <w14:ligatures w14:val="none"/>
        </w:rPr>
        <w:t xml:space="preserve"> HRPP Handbook.</w:t>
      </w:r>
    </w:p>
    <w:p w14:paraId="1021892F" w14:textId="7F8C4805" w:rsidR="00A70889" w:rsidRPr="00417C9D" w:rsidRDefault="00A70889" w:rsidP="00417C9D">
      <w:pPr>
        <w:spacing w:line="276" w:lineRule="auto"/>
        <w:ind w:left="720"/>
        <w:rPr>
          <w:rFonts w:ascii="Arial" w:eastAsia="Times New Roman" w:hAnsi="Arial" w:cs="Arial"/>
          <w:color w:val="0061AF"/>
          <w14:ligatures w14:val="none"/>
        </w:rPr>
      </w:pPr>
      <w:r w:rsidRPr="00417C9D">
        <w:rPr>
          <w:rFonts w:ascii="Arial" w:eastAsia="Times New Roman" w:hAnsi="Arial" w:cs="Arial"/>
          <w:i/>
          <w:iCs/>
          <w:color w:val="0061AF"/>
          <w14:ligatures w14:val="none"/>
        </w:rPr>
        <w:t>C.</w:t>
      </w:r>
      <w:r w:rsidRPr="00417C9D">
        <w:rPr>
          <w:rFonts w:ascii="Arial" w:eastAsia="Times New Roman" w:hAnsi="Arial" w:cs="Arial"/>
          <w:color w:val="0061AF"/>
          <w14:ligatures w14:val="none"/>
        </w:rPr>
        <w:t xml:space="preserve">    Minor or administrative protocol deviations require reporting to </w:t>
      </w:r>
      <w:r w:rsidR="006D67BC" w:rsidRPr="00417C9D">
        <w:rPr>
          <w:rFonts w:ascii="Arial" w:eastAsia="Times New Roman" w:hAnsi="Arial" w:cs="Arial"/>
          <w:color w:val="0061AF"/>
          <w14:ligatures w14:val="none"/>
        </w:rPr>
        <w:t>Saint Luke’s</w:t>
      </w:r>
      <w:r w:rsidRPr="00417C9D">
        <w:rPr>
          <w:rFonts w:ascii="Arial" w:eastAsia="Times New Roman" w:hAnsi="Arial" w:cs="Arial"/>
          <w:color w:val="0061AF"/>
          <w14:ligatures w14:val="none"/>
        </w:rPr>
        <w:t xml:space="preserve"> IRB at continuing review</w:t>
      </w:r>
    </w:p>
    <w:p w14:paraId="719884E5" w14:textId="30AB56B7" w:rsidR="00A70889" w:rsidRPr="00245429" w:rsidRDefault="00A70889" w:rsidP="00417C9D">
      <w:pPr>
        <w:spacing w:line="276" w:lineRule="auto"/>
        <w:ind w:left="720"/>
        <w:rPr>
          <w:rFonts w:ascii="Arial" w:eastAsia="Times New Roman" w:hAnsi="Arial" w:cs="Arial"/>
          <w14:ligatures w14:val="none"/>
        </w:rPr>
      </w:pPr>
      <w:r w:rsidRPr="00245429">
        <w:rPr>
          <w:rFonts w:ascii="Arial" w:eastAsia="Times New Roman" w:hAnsi="Arial" w:cs="Arial"/>
          <w14:ligatures w14:val="none"/>
        </w:rPr>
        <w:t xml:space="preserve">Minor or administrative deviations are those which do not “affect the scientific soundness of the research plan or the rights, safety, or welfare of human subjects.”  A minor or administrative protocol deviation must be reported to the </w:t>
      </w:r>
      <w:r w:rsidR="006D67BC" w:rsidRPr="00245429">
        <w:rPr>
          <w:rFonts w:ascii="Arial" w:eastAsia="Times New Roman" w:hAnsi="Arial" w:cs="Arial"/>
          <w14:ligatures w14:val="none"/>
        </w:rPr>
        <w:t>Saint Luke’s</w:t>
      </w:r>
      <w:r w:rsidRPr="00245429">
        <w:rPr>
          <w:rFonts w:ascii="Arial" w:eastAsia="Times New Roman" w:hAnsi="Arial" w:cs="Arial"/>
          <w14:ligatures w14:val="none"/>
        </w:rPr>
        <w:t xml:space="preserve"> IRB at the time the continuing review application is submitted.  </w:t>
      </w:r>
    </w:p>
    <w:p w14:paraId="032F4792" w14:textId="77777777" w:rsidR="00A70889" w:rsidRPr="004A7686" w:rsidRDefault="00A70889" w:rsidP="004A7686">
      <w:pPr>
        <w:spacing w:line="276" w:lineRule="auto"/>
        <w:ind w:left="1440"/>
        <w:rPr>
          <w:rFonts w:ascii="Arial" w:eastAsia="Times New Roman" w:hAnsi="Arial" w:cs="Arial"/>
          <w:i/>
          <w:iCs/>
          <w:color w:val="0061AF"/>
          <w14:ligatures w14:val="none"/>
        </w:rPr>
      </w:pPr>
      <w:r w:rsidRPr="004A7686">
        <w:rPr>
          <w:rFonts w:ascii="Arial" w:eastAsia="Times New Roman" w:hAnsi="Arial" w:cs="Arial"/>
          <w:i/>
          <w:iCs/>
          <w:color w:val="0061AF"/>
          <w14:ligatures w14:val="none"/>
        </w:rPr>
        <w:t>Examples include follow up visits occurring outside the protocol required time frame because of the participant’s schedule, or blood samples being obtained at times close to but not precisely at the time points specified in the protocol.</w:t>
      </w:r>
    </w:p>
    <w:p w14:paraId="4B630242" w14:textId="77777777" w:rsidR="00245429" w:rsidRPr="00245429" w:rsidRDefault="00245429" w:rsidP="00245429">
      <w:pPr>
        <w:spacing w:line="276" w:lineRule="auto"/>
        <w:rPr>
          <w:rFonts w:ascii="Arial" w:eastAsia="Times New Roman" w:hAnsi="Arial" w:cs="Arial"/>
          <w:b/>
          <w:bCs/>
          <w:kern w:val="0"/>
          <w14:ligatures w14:val="none"/>
        </w:rPr>
      </w:pPr>
      <w:r w:rsidRPr="00245429">
        <w:rPr>
          <w:rFonts w:ascii="Arial" w:eastAsia="Times New Roman" w:hAnsi="Arial" w:cs="Arial"/>
          <w:b/>
          <w:bCs/>
          <w:kern w:val="0"/>
          <w14:ligatures w14:val="none"/>
        </w:rPr>
        <w:t>What are the protocol deviation reporting requirements for commercially sponsored research?</w:t>
      </w:r>
    </w:p>
    <w:p w14:paraId="79829901" w14:textId="3AE83778" w:rsidR="00A70889" w:rsidRPr="00245429" w:rsidRDefault="00A70889" w:rsidP="00245429">
      <w:pPr>
        <w:spacing w:line="276" w:lineRule="auto"/>
        <w:rPr>
          <w:rFonts w:ascii="Arial" w:eastAsia="Times New Roman" w:hAnsi="Arial" w:cs="Arial"/>
          <w14:ligatures w14:val="none"/>
        </w:rPr>
      </w:pPr>
      <w:r w:rsidRPr="00245429">
        <w:rPr>
          <w:rFonts w:ascii="Arial" w:eastAsia="Times New Roman" w:hAnsi="Arial" w:cs="Arial"/>
          <w14:ligatures w14:val="none"/>
        </w:rPr>
        <w:t xml:space="preserve">Sponsored research agreements may require the PI to notify the sponsor of all unplanned deviations or departures from IRB approved protocol procedures.  Sponsor reporting requirements for deviations may differ from </w:t>
      </w:r>
      <w:r w:rsidR="009466BB" w:rsidRPr="00245429">
        <w:rPr>
          <w:rFonts w:ascii="Arial" w:eastAsia="Times New Roman" w:hAnsi="Arial" w:cs="Arial"/>
          <w14:ligatures w14:val="none"/>
        </w:rPr>
        <w:t>S</w:t>
      </w:r>
      <w:r w:rsidR="006D67BC" w:rsidRPr="00245429">
        <w:rPr>
          <w:rFonts w:ascii="Arial" w:eastAsia="Times New Roman" w:hAnsi="Arial" w:cs="Arial"/>
          <w14:ligatures w14:val="none"/>
        </w:rPr>
        <w:t xml:space="preserve">aint Luke’s </w:t>
      </w:r>
      <w:r w:rsidRPr="00245429">
        <w:rPr>
          <w:rFonts w:ascii="Arial" w:eastAsia="Times New Roman" w:hAnsi="Arial" w:cs="Arial"/>
          <w14:ligatures w14:val="none"/>
        </w:rPr>
        <w:t xml:space="preserve">IRB reporting requirements.  It is the PI's responsibility to comply with the reporting requirements outlined in the signed agreement.  </w:t>
      </w:r>
    </w:p>
    <w:p w14:paraId="2234AB75" w14:textId="58628019" w:rsidR="00A70889" w:rsidRPr="00245429" w:rsidRDefault="00245429" w:rsidP="00245429">
      <w:pPr>
        <w:spacing w:line="276" w:lineRule="auto"/>
        <w:rPr>
          <w:rFonts w:ascii="Arial" w:eastAsia="Times New Roman" w:hAnsi="Arial" w:cs="Arial"/>
          <w:b/>
          <w:bCs/>
          <w:kern w:val="0"/>
          <w14:ligatures w14:val="none"/>
        </w:rPr>
      </w:pPr>
      <w:r w:rsidRPr="00245429">
        <w:rPr>
          <w:rFonts w:ascii="Arial" w:eastAsia="Times New Roman" w:hAnsi="Arial" w:cs="Arial"/>
          <w:b/>
          <w:bCs/>
          <w:kern w:val="0"/>
          <w14:ligatures w14:val="none"/>
        </w:rPr>
        <w:t>Does the FDA Good Clinical Practice (GCP) Guidance affect reporting of deviations?</w:t>
      </w:r>
    </w:p>
    <w:p w14:paraId="59A27727" w14:textId="77777777" w:rsidR="00A70889" w:rsidRPr="00245429" w:rsidRDefault="00A70889" w:rsidP="00245429">
      <w:pPr>
        <w:spacing w:line="276" w:lineRule="auto"/>
        <w:rPr>
          <w:rFonts w:ascii="Arial" w:eastAsia="Times New Roman" w:hAnsi="Arial" w:cs="Arial"/>
          <w14:ligatures w14:val="none"/>
        </w:rPr>
      </w:pPr>
      <w:r w:rsidRPr="00245429">
        <w:rPr>
          <w:rFonts w:ascii="Arial" w:eastAsia="Times New Roman" w:hAnsi="Arial" w:cs="Arial"/>
          <w14:ligatures w14:val="none"/>
        </w:rPr>
        <w:t>Many sponsors require investigators to follow Good Clinical Practice (GCP) guidelines.  The GCP Guidance for Industry states:</w:t>
      </w:r>
    </w:p>
    <w:p w14:paraId="76F016D2" w14:textId="77777777" w:rsidR="004A7686" w:rsidRDefault="00A70889" w:rsidP="004A7686">
      <w:pPr>
        <w:spacing w:before="240" w:line="276" w:lineRule="auto"/>
        <w:rPr>
          <w:rFonts w:ascii="Arial" w:eastAsia="Times New Roman" w:hAnsi="Arial" w:cs="Arial"/>
          <w14:ligatures w14:val="none"/>
        </w:rPr>
      </w:pPr>
      <w:r w:rsidRPr="00245429">
        <w:rPr>
          <w:rFonts w:ascii="Arial" w:eastAsia="Times New Roman" w:hAnsi="Arial" w:cs="Arial"/>
          <w14:ligatures w14:val="none"/>
        </w:rPr>
        <w:t xml:space="preserve">“The investigator should not implement any deviation from, or changes of the protocol without agreement by the sponsor and prior review and documented approval/favorable opinion from </w:t>
      </w:r>
      <w:r w:rsidR="006D67BC" w:rsidRPr="00245429">
        <w:rPr>
          <w:rFonts w:ascii="Arial" w:eastAsia="Times New Roman" w:hAnsi="Arial" w:cs="Arial"/>
          <w14:ligatures w14:val="none"/>
        </w:rPr>
        <w:t>Saint Luke’s</w:t>
      </w:r>
      <w:r w:rsidRPr="00245429">
        <w:rPr>
          <w:rFonts w:ascii="Arial" w:eastAsia="Times New Roman" w:hAnsi="Arial" w:cs="Arial"/>
          <w14:ligatures w14:val="none"/>
        </w:rPr>
        <w:t xml:space="preserve"> IRB…of an amendment, except where necessary to eliminate an immediate hazard(s) to trial subjects, or when the change(s) involves only logistical or administrative aspects of the trial (e.g., change in monitor(s), change of telephone number(s)).”   </w:t>
      </w:r>
    </w:p>
    <w:p w14:paraId="48C1F03B" w14:textId="43BFA254" w:rsidR="00A70889" w:rsidRPr="000F1935" w:rsidRDefault="004A7686" w:rsidP="000F1935">
      <w:pPr>
        <w:spacing w:before="240" w:line="276" w:lineRule="auto"/>
        <w:jc w:val="center"/>
        <w:rPr>
          <w:rFonts w:ascii="Arial" w:eastAsia="Times New Roman" w:hAnsi="Arial" w:cs="Arial"/>
          <w:b/>
          <w:bCs/>
          <w14:ligatures w14:val="none"/>
        </w:rPr>
      </w:pPr>
      <w:hyperlink r:id="rId12" w:history="1">
        <w:r w:rsidRPr="000F1935">
          <w:rPr>
            <w:rStyle w:val="Hyperlink"/>
            <w:rFonts w:ascii="Arial" w:eastAsia="Times New Roman" w:hAnsi="Arial" w:cs="Arial"/>
            <w:b/>
            <w:bCs/>
            <w:color w:val="002C73"/>
            <w14:ligatures w14:val="none"/>
          </w:rPr>
          <w:t>https://www.fda.gov/media/184745/download</w:t>
        </w:r>
      </w:hyperlink>
    </w:p>
    <w:p w14:paraId="5329D1D6" w14:textId="77777777" w:rsidR="00A70889" w:rsidRPr="00245429" w:rsidRDefault="00A70889" w:rsidP="004A7686">
      <w:pPr>
        <w:spacing w:before="240" w:line="276" w:lineRule="auto"/>
        <w:rPr>
          <w:rFonts w:ascii="Arial" w:eastAsia="Times New Roman" w:hAnsi="Arial" w:cs="Arial"/>
          <w14:ligatures w14:val="none"/>
        </w:rPr>
      </w:pPr>
      <w:r w:rsidRPr="00245429">
        <w:rPr>
          <w:rFonts w:ascii="Arial" w:eastAsia="Times New Roman" w:hAnsi="Arial" w:cs="Arial"/>
          <w14:ligatures w14:val="none"/>
        </w:rPr>
        <w:t>If investigators have any questions regarding a sponsor’s specific deviation reporting requirements, they should check with the sponsor and obtain clarification before the study enrollment begins.</w:t>
      </w:r>
    </w:p>
    <w:p w14:paraId="0663E6BF" w14:textId="77777777" w:rsidR="00A70889" w:rsidRPr="004A7686" w:rsidRDefault="00A70889" w:rsidP="004A7686">
      <w:pPr>
        <w:keepNext/>
        <w:keepLines/>
        <w:spacing w:before="240" w:line="276" w:lineRule="auto"/>
        <w:outlineLvl w:val="3"/>
        <w:rPr>
          <w:rFonts w:ascii="Arial" w:eastAsia="Yu Gothic Light" w:hAnsi="Arial" w:cs="Arial"/>
          <w:i/>
          <w:iCs/>
          <w:color w:val="0061AF"/>
          <w14:ligatures w14:val="none"/>
        </w:rPr>
      </w:pPr>
      <w:bookmarkStart w:id="1" w:name="_*OHRP_considers_unanticipated"/>
      <w:bookmarkEnd w:id="1"/>
      <w:r w:rsidRPr="004A7686">
        <w:rPr>
          <w:rFonts w:ascii="Arial" w:eastAsia="Yu Gothic Light" w:hAnsi="Arial" w:cs="Arial"/>
          <w:i/>
          <w:iCs/>
          <w:color w:val="0061AF"/>
          <w14:ligatures w14:val="none"/>
        </w:rPr>
        <w:t>*OHRP considers unanticipated problems, in general, to include any incident, experience, or outcome that meets all of the following criteria:</w:t>
      </w:r>
    </w:p>
    <w:p w14:paraId="4197E55C" w14:textId="73940123" w:rsidR="00A70889" w:rsidRPr="00245429" w:rsidRDefault="004A7686" w:rsidP="00245429">
      <w:pPr>
        <w:pStyle w:val="ListParagraph"/>
        <w:numPr>
          <w:ilvl w:val="0"/>
          <w:numId w:val="31"/>
        </w:numPr>
        <w:spacing w:before="120" w:after="120" w:line="276" w:lineRule="auto"/>
        <w:contextualSpacing w:val="0"/>
        <w:rPr>
          <w:rFonts w:ascii="Arial" w:eastAsia="Times New Roman" w:hAnsi="Arial" w:cs="Arial"/>
          <w:sz w:val="22"/>
          <w:szCs w:val="22"/>
          <w14:ligatures w14:val="none"/>
        </w:rPr>
      </w:pPr>
      <w:r>
        <w:rPr>
          <w:rFonts w:ascii="Arial" w:eastAsia="Times New Roman" w:hAnsi="Arial" w:cs="Arial"/>
          <w:sz w:val="22"/>
          <w:szCs w:val="22"/>
          <w14:ligatures w14:val="none"/>
        </w:rPr>
        <w:t>U</w:t>
      </w:r>
      <w:r w:rsidR="00A70889" w:rsidRPr="00245429">
        <w:rPr>
          <w:rFonts w:ascii="Arial" w:eastAsia="Times New Roman" w:hAnsi="Arial" w:cs="Arial"/>
          <w:sz w:val="22"/>
          <w:szCs w:val="22"/>
          <w14:ligatures w14:val="none"/>
        </w:rPr>
        <w:t>nexpected (in terms of nature, severity, or frequency) given (a) the research procedures that are described in the protocol-related documents, such as the IRB-approved research protocol and informed consent document; and (b) the characteristics of the subject population being studied;</w:t>
      </w:r>
    </w:p>
    <w:p w14:paraId="7B46C832" w14:textId="6974D26D" w:rsidR="00A70889" w:rsidRPr="00245429" w:rsidRDefault="004A7686" w:rsidP="00245429">
      <w:pPr>
        <w:pStyle w:val="ListParagraph"/>
        <w:numPr>
          <w:ilvl w:val="0"/>
          <w:numId w:val="31"/>
        </w:numPr>
        <w:spacing w:before="120" w:after="120" w:line="276" w:lineRule="auto"/>
        <w:contextualSpacing w:val="0"/>
        <w:rPr>
          <w:rFonts w:ascii="Arial" w:eastAsia="Times New Roman" w:hAnsi="Arial" w:cs="Arial"/>
          <w:sz w:val="22"/>
          <w:szCs w:val="22"/>
          <w14:ligatures w14:val="none"/>
        </w:rPr>
      </w:pPr>
      <w:r>
        <w:rPr>
          <w:rFonts w:ascii="Arial" w:eastAsia="Times New Roman" w:hAnsi="Arial" w:cs="Arial"/>
          <w:sz w:val="22"/>
          <w:szCs w:val="22"/>
          <w14:ligatures w14:val="none"/>
        </w:rPr>
        <w:lastRenderedPageBreak/>
        <w:t>R</w:t>
      </w:r>
      <w:r w:rsidR="00A70889" w:rsidRPr="00245429">
        <w:rPr>
          <w:rFonts w:ascii="Arial" w:eastAsia="Times New Roman" w:hAnsi="Arial" w:cs="Arial"/>
          <w:sz w:val="22"/>
          <w:szCs w:val="22"/>
          <w14:ligatures w14:val="none"/>
        </w:rPr>
        <w:t>elated or possibly related to participation in the research (in this guidance document, possibly related means there is a reasonable possibility that the incident, experience, or outcome may have been caused by the procedures involved in the research); and</w:t>
      </w:r>
    </w:p>
    <w:p w14:paraId="657B14D5" w14:textId="06011202" w:rsidR="00A70889" w:rsidRPr="00245429" w:rsidRDefault="004A7686" w:rsidP="00245429">
      <w:pPr>
        <w:pStyle w:val="ListParagraph"/>
        <w:numPr>
          <w:ilvl w:val="0"/>
          <w:numId w:val="31"/>
        </w:numPr>
        <w:spacing w:before="120" w:after="120" w:line="276" w:lineRule="auto"/>
        <w:contextualSpacing w:val="0"/>
        <w:rPr>
          <w:rFonts w:ascii="Arial" w:eastAsia="Times New Roman" w:hAnsi="Arial" w:cs="Arial"/>
          <w:sz w:val="22"/>
          <w:szCs w:val="22"/>
          <w14:ligatures w14:val="none"/>
        </w:rPr>
      </w:pPr>
      <w:r>
        <w:rPr>
          <w:rFonts w:ascii="Arial" w:eastAsia="Times New Roman" w:hAnsi="Arial" w:cs="Arial"/>
          <w:sz w:val="22"/>
          <w:szCs w:val="22"/>
          <w14:ligatures w14:val="none"/>
        </w:rPr>
        <w:t>S</w:t>
      </w:r>
      <w:r w:rsidR="00A70889" w:rsidRPr="00245429">
        <w:rPr>
          <w:rFonts w:ascii="Arial" w:eastAsia="Times New Roman" w:hAnsi="Arial" w:cs="Arial"/>
          <w:sz w:val="22"/>
          <w:szCs w:val="22"/>
          <w14:ligatures w14:val="none"/>
        </w:rPr>
        <w:t>uggests that the research places subjects or others at a greater risk of harm (including physical, psychological, economic, or social harm) than was previously known or recognized.</w:t>
      </w:r>
    </w:p>
    <w:p w14:paraId="3DDB1428" w14:textId="77777777" w:rsidR="00A70889" w:rsidRPr="00245429" w:rsidRDefault="00A70889" w:rsidP="00245429">
      <w:pPr>
        <w:spacing w:line="276" w:lineRule="auto"/>
        <w:rPr>
          <w:rFonts w:ascii="Arial" w:eastAsia="Times New Roman" w:hAnsi="Arial" w:cs="Arial"/>
          <w14:ligatures w14:val="none"/>
        </w:rPr>
      </w:pPr>
      <w:r w:rsidRPr="00245429">
        <w:rPr>
          <w:rFonts w:ascii="Arial" w:eastAsia="Times New Roman" w:hAnsi="Arial" w:cs="Arial"/>
          <w14:ligatures w14:val="none"/>
        </w:rPr>
        <w:t>FDA defines an unanticipated problem as: an event that is unexpected, serious, and would have implications for the conduct of the study (e.g., requiring a significant, and usually safety-related, change in the protocol such as revising inclusion/exclusion criteria or including a new monitoring requirement, informed consent, or investigator’s brochure).</w:t>
      </w:r>
    </w:p>
    <w:p w14:paraId="18A12823" w14:textId="26FFC3F6" w:rsidR="00A70889" w:rsidRPr="00245429" w:rsidRDefault="00245429" w:rsidP="00245429">
      <w:pPr>
        <w:spacing w:before="360" w:after="120" w:line="276" w:lineRule="auto"/>
        <w:rPr>
          <w:rFonts w:ascii="Arial" w:eastAsia="Calibri" w:hAnsi="Arial" w:cs="Arial"/>
          <w:b/>
          <w:iCs/>
          <w:caps/>
          <w:color w:val="002C73"/>
        </w:rPr>
      </w:pPr>
      <w:r w:rsidRPr="00245429">
        <w:rPr>
          <w:rFonts w:ascii="Arial" w:eastAsia="Calibri" w:hAnsi="Arial" w:cs="Arial"/>
          <w:b/>
          <w:iCs/>
          <w:caps/>
          <w:color w:val="002C73"/>
        </w:rPr>
        <w:t>REPORTABLE EVENT DIAGRAM</w:t>
      </w:r>
    </w:p>
    <w:p w14:paraId="798D85E0" w14:textId="3D0D7FD2" w:rsidR="00A70889" w:rsidRPr="00245429" w:rsidRDefault="00245429" w:rsidP="00245429">
      <w:pPr>
        <w:spacing w:line="276" w:lineRule="auto"/>
        <w:ind w:left="-720"/>
        <w:rPr>
          <w:rFonts w:ascii="Arial" w:eastAsia="Times New Roman" w:hAnsi="Arial" w:cs="Arial"/>
          <w14:ligatures w14:val="none"/>
        </w:rPr>
      </w:pPr>
      <w:r w:rsidRPr="00245429">
        <w:rPr>
          <w:rFonts w:ascii="Arial" w:eastAsia="Times New Roman" w:hAnsi="Arial" w:cs="Arial"/>
          <w:noProof/>
          <w14:ligatures w14:val="none"/>
        </w:rPr>
        <w:drawing>
          <wp:anchor distT="0" distB="0" distL="114300" distR="114300" simplePos="0" relativeHeight="251660288" behindDoc="1" locked="0" layoutInCell="1" allowOverlap="1" wp14:anchorId="6AAC39D0" wp14:editId="66E545D5">
            <wp:simplePos x="0" y="0"/>
            <wp:positionH relativeFrom="column">
              <wp:posOffset>-10190</wp:posOffset>
            </wp:positionH>
            <wp:positionV relativeFrom="paragraph">
              <wp:posOffset>86995</wp:posOffset>
            </wp:positionV>
            <wp:extent cx="5943600" cy="3638550"/>
            <wp:effectExtent l="0" t="0" r="0" b="0"/>
            <wp:wrapNone/>
            <wp:docPr id="458983555" name="Picture 1" descr="A diagram of a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983555" name="Picture 1" descr="A diagram of a process&#10;&#10;AI-generated content may be incorrect."/>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2000"/>
                              </a14:imgEffect>
                            </a14:imgLayer>
                          </a14:imgProps>
                        </a:ext>
                        <a:ext uri="{28A0092B-C50C-407E-A947-70E740481C1C}">
                          <a14:useLocalDpi xmlns:a14="http://schemas.microsoft.com/office/drawing/2010/main" val="0"/>
                        </a:ext>
                      </a:extLst>
                    </a:blip>
                    <a:srcRect/>
                    <a:stretch>
                      <a:fillRect/>
                    </a:stretch>
                  </pic:blipFill>
                  <pic:spPr bwMode="auto">
                    <a:xfrm>
                      <a:off x="0" y="0"/>
                      <a:ext cx="5943600" cy="3638550"/>
                    </a:xfrm>
                    <a:prstGeom prst="rect">
                      <a:avLst/>
                    </a:prstGeom>
                    <a:noFill/>
                    <a:ln>
                      <a:noFill/>
                    </a:ln>
                  </pic:spPr>
                </pic:pic>
              </a:graphicData>
            </a:graphic>
          </wp:anchor>
        </w:drawing>
      </w:r>
    </w:p>
    <w:p w14:paraId="5373CFDB" w14:textId="3611F410" w:rsidR="00157EA8" w:rsidRPr="00245429" w:rsidRDefault="00157EA8" w:rsidP="00245429">
      <w:pPr>
        <w:spacing w:line="276" w:lineRule="auto"/>
        <w:rPr>
          <w:rFonts w:ascii="Arial" w:hAnsi="Arial" w:cs="Arial"/>
        </w:rPr>
      </w:pPr>
    </w:p>
    <w:sectPr w:rsidR="00157EA8" w:rsidRPr="00245429" w:rsidSect="00215F50">
      <w:footerReference w:type="default" r:id="rId15"/>
      <w:headerReference w:type="first" r:id="rId16"/>
      <w:pgSz w:w="12240" w:h="15840" w:code="1"/>
      <w:pgMar w:top="1440" w:right="1440" w:bottom="1440" w:left="1440" w:header="28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D2A3" w14:textId="77777777" w:rsidR="00F92CCC" w:rsidRDefault="00F92CCC" w:rsidP="00956EEC">
      <w:pPr>
        <w:spacing w:after="0" w:line="240" w:lineRule="auto"/>
      </w:pPr>
      <w:r>
        <w:separator/>
      </w:r>
    </w:p>
  </w:endnote>
  <w:endnote w:type="continuationSeparator" w:id="0">
    <w:p w14:paraId="5337F613" w14:textId="77777777" w:rsidR="00F92CCC" w:rsidRDefault="00F92CCC" w:rsidP="0095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2C73"/>
        <w:sz w:val="20"/>
        <w:szCs w:val="20"/>
      </w:rPr>
      <w:id w:val="-212507387"/>
      <w:docPartObj>
        <w:docPartGallery w:val="Page Numbers (Bottom of Page)"/>
        <w:docPartUnique/>
      </w:docPartObj>
    </w:sdtPr>
    <w:sdtEndPr/>
    <w:sdtContent>
      <w:sdt>
        <w:sdtPr>
          <w:rPr>
            <w:rFonts w:ascii="Arial" w:hAnsi="Arial" w:cs="Arial"/>
            <w:color w:val="002C73"/>
            <w:sz w:val="20"/>
            <w:szCs w:val="20"/>
          </w:rPr>
          <w:id w:val="1728636285"/>
          <w:docPartObj>
            <w:docPartGallery w:val="Page Numbers (Top of Page)"/>
            <w:docPartUnique/>
          </w:docPartObj>
        </w:sdtPr>
        <w:sdtEndPr/>
        <w:sdtContent>
          <w:p w14:paraId="74FBB6F6" w14:textId="1F9AFAF3" w:rsidR="00215F50" w:rsidRPr="00215F50" w:rsidRDefault="00215F50">
            <w:pPr>
              <w:pStyle w:val="Footer"/>
              <w:jc w:val="center"/>
              <w:rPr>
                <w:rFonts w:ascii="Arial" w:hAnsi="Arial" w:cs="Arial"/>
                <w:color w:val="002C73"/>
                <w:sz w:val="20"/>
                <w:szCs w:val="20"/>
              </w:rPr>
            </w:pPr>
            <w:r w:rsidRPr="00215F50">
              <w:rPr>
                <w:rFonts w:ascii="Arial" w:hAnsi="Arial" w:cs="Arial"/>
                <w:color w:val="002C73"/>
                <w:sz w:val="20"/>
                <w:szCs w:val="20"/>
              </w:rPr>
              <w:t xml:space="preserve">Page </w:t>
            </w:r>
            <w:r w:rsidRPr="00215F50">
              <w:rPr>
                <w:rFonts w:ascii="Arial" w:hAnsi="Arial" w:cs="Arial"/>
                <w:b/>
                <w:bCs/>
                <w:color w:val="002C73"/>
                <w:sz w:val="20"/>
                <w:szCs w:val="20"/>
              </w:rPr>
              <w:fldChar w:fldCharType="begin"/>
            </w:r>
            <w:r w:rsidRPr="00215F50">
              <w:rPr>
                <w:rFonts w:ascii="Arial" w:hAnsi="Arial" w:cs="Arial"/>
                <w:b/>
                <w:bCs/>
                <w:color w:val="002C73"/>
                <w:sz w:val="20"/>
                <w:szCs w:val="20"/>
              </w:rPr>
              <w:instrText xml:space="preserve"> PAGE </w:instrText>
            </w:r>
            <w:r w:rsidRPr="00215F50">
              <w:rPr>
                <w:rFonts w:ascii="Arial" w:hAnsi="Arial" w:cs="Arial"/>
                <w:b/>
                <w:bCs/>
                <w:color w:val="002C73"/>
                <w:sz w:val="20"/>
                <w:szCs w:val="20"/>
              </w:rPr>
              <w:fldChar w:fldCharType="separate"/>
            </w:r>
            <w:r w:rsidRPr="00215F50">
              <w:rPr>
                <w:rFonts w:ascii="Arial" w:hAnsi="Arial" w:cs="Arial"/>
                <w:b/>
                <w:bCs/>
                <w:noProof/>
                <w:color w:val="002C73"/>
                <w:sz w:val="20"/>
                <w:szCs w:val="20"/>
              </w:rPr>
              <w:t>2</w:t>
            </w:r>
            <w:r w:rsidRPr="00215F50">
              <w:rPr>
                <w:rFonts w:ascii="Arial" w:hAnsi="Arial" w:cs="Arial"/>
                <w:b/>
                <w:bCs/>
                <w:color w:val="002C73"/>
                <w:sz w:val="20"/>
                <w:szCs w:val="20"/>
              </w:rPr>
              <w:fldChar w:fldCharType="end"/>
            </w:r>
            <w:r w:rsidRPr="00215F50">
              <w:rPr>
                <w:rFonts w:ascii="Arial" w:hAnsi="Arial" w:cs="Arial"/>
                <w:color w:val="002C73"/>
                <w:sz w:val="20"/>
                <w:szCs w:val="20"/>
              </w:rPr>
              <w:t xml:space="preserve"> of </w:t>
            </w:r>
            <w:r w:rsidRPr="00215F50">
              <w:rPr>
                <w:rFonts w:ascii="Arial" w:hAnsi="Arial" w:cs="Arial"/>
                <w:b/>
                <w:bCs/>
                <w:color w:val="002C73"/>
                <w:sz w:val="20"/>
                <w:szCs w:val="20"/>
              </w:rPr>
              <w:fldChar w:fldCharType="begin"/>
            </w:r>
            <w:r w:rsidRPr="00215F50">
              <w:rPr>
                <w:rFonts w:ascii="Arial" w:hAnsi="Arial" w:cs="Arial"/>
                <w:b/>
                <w:bCs/>
                <w:color w:val="002C73"/>
                <w:sz w:val="20"/>
                <w:szCs w:val="20"/>
              </w:rPr>
              <w:instrText xml:space="preserve"> NUMPAGES  </w:instrText>
            </w:r>
            <w:r w:rsidRPr="00215F50">
              <w:rPr>
                <w:rFonts w:ascii="Arial" w:hAnsi="Arial" w:cs="Arial"/>
                <w:b/>
                <w:bCs/>
                <w:color w:val="002C73"/>
                <w:sz w:val="20"/>
                <w:szCs w:val="20"/>
              </w:rPr>
              <w:fldChar w:fldCharType="separate"/>
            </w:r>
            <w:r w:rsidRPr="00215F50">
              <w:rPr>
                <w:rFonts w:ascii="Arial" w:hAnsi="Arial" w:cs="Arial"/>
                <w:b/>
                <w:bCs/>
                <w:noProof/>
                <w:color w:val="002C73"/>
                <w:sz w:val="20"/>
                <w:szCs w:val="20"/>
              </w:rPr>
              <w:t>2</w:t>
            </w:r>
            <w:r w:rsidRPr="00215F50">
              <w:rPr>
                <w:rFonts w:ascii="Arial" w:hAnsi="Arial" w:cs="Arial"/>
                <w:b/>
                <w:bCs/>
                <w:color w:val="002C73"/>
                <w:sz w:val="20"/>
                <w:szCs w:val="20"/>
              </w:rPr>
              <w:fldChar w:fldCharType="end"/>
            </w:r>
          </w:p>
        </w:sdtContent>
      </w:sdt>
    </w:sdtContent>
  </w:sdt>
  <w:p w14:paraId="5FD5805E" w14:textId="44B8691F" w:rsidR="6512187D" w:rsidRPr="00215F50" w:rsidRDefault="00215F50" w:rsidP="00215F50">
    <w:pPr>
      <w:pStyle w:val="Footer"/>
      <w:jc w:val="right"/>
      <w:rPr>
        <w:rFonts w:ascii="Arial" w:hAnsi="Arial" w:cs="Arial"/>
        <w:color w:val="002C73"/>
        <w:sz w:val="20"/>
        <w:szCs w:val="20"/>
      </w:rPr>
    </w:pPr>
    <w:r>
      <w:rPr>
        <w:rFonts w:ascii="Arial" w:hAnsi="Arial" w:cs="Arial"/>
        <w:color w:val="002C73"/>
        <w:sz w:val="20"/>
        <w:szCs w:val="20"/>
      </w:rPr>
      <w:t xml:space="preserve">Version </w:t>
    </w:r>
    <w:r>
      <w:rPr>
        <w:rFonts w:ascii="Arial" w:hAnsi="Arial" w:cs="Arial"/>
        <w:color w:val="002C73"/>
        <w:sz w:val="20"/>
        <w:szCs w:val="20"/>
      </w:rPr>
      <w:fldChar w:fldCharType="begin"/>
    </w:r>
    <w:r>
      <w:rPr>
        <w:rFonts w:ascii="Arial" w:hAnsi="Arial" w:cs="Arial"/>
        <w:color w:val="002C73"/>
        <w:sz w:val="20"/>
        <w:szCs w:val="20"/>
      </w:rPr>
      <w:instrText xml:space="preserve"> DATE \@ "M/d/yyyy" </w:instrText>
    </w:r>
    <w:r>
      <w:rPr>
        <w:rFonts w:ascii="Arial" w:hAnsi="Arial" w:cs="Arial"/>
        <w:color w:val="002C73"/>
        <w:sz w:val="20"/>
        <w:szCs w:val="20"/>
      </w:rPr>
      <w:fldChar w:fldCharType="separate"/>
    </w:r>
    <w:r w:rsidR="00245429">
      <w:rPr>
        <w:rFonts w:ascii="Arial" w:hAnsi="Arial" w:cs="Arial"/>
        <w:noProof/>
        <w:color w:val="002C73"/>
        <w:sz w:val="20"/>
        <w:szCs w:val="20"/>
      </w:rPr>
      <w:t>5/8/2026</w:t>
    </w:r>
    <w:r>
      <w:rPr>
        <w:rFonts w:ascii="Arial" w:hAnsi="Arial" w:cs="Arial"/>
        <w:color w:val="002C7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87956" w14:textId="77777777" w:rsidR="00F92CCC" w:rsidRDefault="00F92CCC" w:rsidP="00956EEC">
      <w:pPr>
        <w:spacing w:after="0" w:line="240" w:lineRule="auto"/>
      </w:pPr>
      <w:r>
        <w:separator/>
      </w:r>
    </w:p>
  </w:footnote>
  <w:footnote w:type="continuationSeparator" w:id="0">
    <w:p w14:paraId="709F92C2" w14:textId="77777777" w:rsidR="00F92CCC" w:rsidRDefault="00F92CCC" w:rsidP="00956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98AFB" w14:textId="390277D2" w:rsidR="00215F50" w:rsidRDefault="00215F50">
    <w:pPr>
      <w:pStyle w:val="Header"/>
    </w:pPr>
    <w:r>
      <w:rPr>
        <w:noProof/>
      </w:rPr>
      <w:drawing>
        <wp:anchor distT="0" distB="0" distL="114300" distR="114300" simplePos="0" relativeHeight="251660288" behindDoc="1" locked="0" layoutInCell="1" allowOverlap="1" wp14:anchorId="2EBB93A6" wp14:editId="4F47400F">
          <wp:simplePos x="0" y="0"/>
          <wp:positionH relativeFrom="margin">
            <wp:posOffset>-933450</wp:posOffset>
          </wp:positionH>
          <wp:positionV relativeFrom="margin">
            <wp:posOffset>-2002628</wp:posOffset>
          </wp:positionV>
          <wp:extent cx="7818120" cy="10122408"/>
          <wp:effectExtent l="0" t="0" r="0" b="0"/>
          <wp:wrapNone/>
          <wp:docPr id="167818116" name="Picture 2" descr="A white background with red and blue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107576" name="Picture 2" descr="A white background with red and blue objec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8120" cy="1012240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B82"/>
    <w:multiLevelType w:val="hybridMultilevel"/>
    <w:tmpl w:val="8C0625B8"/>
    <w:lvl w:ilvl="0" w:tplc="04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842DD"/>
    <w:multiLevelType w:val="hybridMultilevel"/>
    <w:tmpl w:val="C2666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6727E2"/>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74262"/>
    <w:multiLevelType w:val="hybridMultilevel"/>
    <w:tmpl w:val="E3A4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55EA4"/>
    <w:multiLevelType w:val="hybridMultilevel"/>
    <w:tmpl w:val="1D2ED6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12447E"/>
    <w:multiLevelType w:val="hybridMultilevel"/>
    <w:tmpl w:val="E33C2ED2"/>
    <w:lvl w:ilvl="0" w:tplc="978C4022">
      <w:start w:val="1"/>
      <w:numFmt w:val="bullet"/>
      <w:lvlText w:val=""/>
      <w:lvlJc w:val="left"/>
      <w:pPr>
        <w:ind w:left="720" w:hanging="360"/>
      </w:pPr>
      <w:rPr>
        <w:rFonts w:ascii="Symbol" w:hAnsi="Symbol" w:hint="default"/>
        <w:color w:val="0061A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D4C32"/>
    <w:multiLevelType w:val="hybridMultilevel"/>
    <w:tmpl w:val="392A5B8A"/>
    <w:lvl w:ilvl="0" w:tplc="57527B50">
      <w:start w:val="1"/>
      <w:numFmt w:val="bullet"/>
      <w:lvlText w:val=""/>
      <w:lvlJc w:val="left"/>
      <w:pPr>
        <w:ind w:left="720" w:hanging="360"/>
      </w:pPr>
      <w:rPr>
        <w:rFonts w:ascii="Symbol" w:hAnsi="Symbol" w:hint="default"/>
        <w:color w:val="0061AF"/>
      </w:rPr>
    </w:lvl>
    <w:lvl w:ilvl="1" w:tplc="46941CC2">
      <w:start w:val="1"/>
      <w:numFmt w:val="bullet"/>
      <w:lvlText w:val="o"/>
      <w:lvlJc w:val="left"/>
      <w:pPr>
        <w:ind w:left="1440" w:hanging="360"/>
      </w:pPr>
      <w:rPr>
        <w:rFonts w:ascii="Courier New" w:hAnsi="Courier New" w:cs="Courier New" w:hint="default"/>
        <w:color w:val="0061AF"/>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AAB17EF"/>
    <w:multiLevelType w:val="hybridMultilevel"/>
    <w:tmpl w:val="9FA86C68"/>
    <w:lvl w:ilvl="0" w:tplc="28ACD4F8">
      <w:numFmt w:val="bullet"/>
      <w:lvlText w:val=""/>
      <w:lvlJc w:val="left"/>
      <w:pPr>
        <w:tabs>
          <w:tab w:val="num" w:pos="1260"/>
        </w:tabs>
        <w:ind w:left="1260" w:hanging="360"/>
      </w:pPr>
      <w:rPr>
        <w:rFonts w:ascii="Symbol" w:eastAsia="Times New Roman" w:hAnsi="Symbol" w:cs="Aria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E2C0932"/>
    <w:multiLevelType w:val="hybridMultilevel"/>
    <w:tmpl w:val="02908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F244BA"/>
    <w:multiLevelType w:val="hybridMultilevel"/>
    <w:tmpl w:val="17F0B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8111D"/>
    <w:multiLevelType w:val="hybridMultilevel"/>
    <w:tmpl w:val="970AE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F26D11"/>
    <w:multiLevelType w:val="singleLevel"/>
    <w:tmpl w:val="A2204618"/>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12" w15:restartNumberingAfterBreak="0">
    <w:nsid w:val="3E7D0806"/>
    <w:multiLevelType w:val="hybridMultilevel"/>
    <w:tmpl w:val="14846E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1BB70A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1E3C01"/>
    <w:multiLevelType w:val="hybridMultilevel"/>
    <w:tmpl w:val="80F6DB3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34D17CF"/>
    <w:multiLevelType w:val="hybridMultilevel"/>
    <w:tmpl w:val="979A6A60"/>
    <w:lvl w:ilvl="0" w:tplc="04090001">
      <w:start w:val="1"/>
      <w:numFmt w:val="bullet"/>
      <w:lvlText w:val=""/>
      <w:lvlJc w:val="left"/>
      <w:pPr>
        <w:tabs>
          <w:tab w:val="num" w:pos="1224"/>
        </w:tabs>
        <w:ind w:left="1224" w:hanging="504"/>
      </w:pPr>
      <w:rPr>
        <w:rFonts w:ascii="Symbol" w:hAnsi="Symbol" w:hint="default"/>
        <w:sz w:val="24"/>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4B7C0BE7"/>
    <w:multiLevelType w:val="hybridMultilevel"/>
    <w:tmpl w:val="7F64B3E6"/>
    <w:lvl w:ilvl="0" w:tplc="04090001">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C7B48E2"/>
    <w:multiLevelType w:val="hybridMultilevel"/>
    <w:tmpl w:val="2A820BDE"/>
    <w:lvl w:ilvl="0" w:tplc="33DC072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8F1DE2"/>
    <w:multiLevelType w:val="hybridMultilevel"/>
    <w:tmpl w:val="5D8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C564BF"/>
    <w:multiLevelType w:val="hybridMultilevel"/>
    <w:tmpl w:val="0D0CF572"/>
    <w:lvl w:ilvl="0" w:tplc="04090001">
      <w:start w:val="1"/>
      <w:numFmt w:val="bullet"/>
      <w:lvlText w:val=""/>
      <w:lvlJc w:val="left"/>
      <w:pPr>
        <w:ind w:left="722" w:hanging="360"/>
      </w:pPr>
      <w:rPr>
        <w:rFonts w:ascii="Symbol" w:hAnsi="Symbol" w:hint="default"/>
      </w:rPr>
    </w:lvl>
    <w:lvl w:ilvl="1" w:tplc="FFFFFFFF" w:tentative="1">
      <w:start w:val="1"/>
      <w:numFmt w:val="bullet"/>
      <w:lvlText w:val="o"/>
      <w:lvlJc w:val="left"/>
      <w:pPr>
        <w:ind w:left="1442" w:hanging="360"/>
      </w:pPr>
      <w:rPr>
        <w:rFonts w:ascii="Courier New" w:hAnsi="Courier New" w:cs="Courier New"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20" w15:restartNumberingAfterBreak="0">
    <w:nsid w:val="53425582"/>
    <w:multiLevelType w:val="hybridMultilevel"/>
    <w:tmpl w:val="255A72F8"/>
    <w:lvl w:ilvl="0" w:tplc="B43E43FA">
      <w:start w:val="1"/>
      <w:numFmt w:val="bullet"/>
      <w:lvlText w:val=""/>
      <w:lvlJc w:val="left"/>
      <w:pPr>
        <w:ind w:left="1440" w:hanging="360"/>
      </w:pPr>
      <w:rPr>
        <w:rFonts w:ascii="Symbol" w:hAnsi="Symbol" w:hint="default"/>
        <w:color w:val="002C73"/>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561BC0"/>
    <w:multiLevelType w:val="hybridMultilevel"/>
    <w:tmpl w:val="BC2214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F4C78"/>
    <w:multiLevelType w:val="hybridMultilevel"/>
    <w:tmpl w:val="8B526706"/>
    <w:lvl w:ilvl="0" w:tplc="D376E0EE">
      <w:start w:val="1"/>
      <w:numFmt w:val="bullet"/>
      <w:lvlText w:val=""/>
      <w:lvlJc w:val="left"/>
      <w:pPr>
        <w:ind w:left="720" w:hanging="360"/>
      </w:pPr>
      <w:rPr>
        <w:rFonts w:ascii="Symbol" w:hAnsi="Symbol" w:hint="default"/>
        <w:color w:val="0061AF"/>
      </w:rPr>
    </w:lvl>
    <w:lvl w:ilvl="1" w:tplc="1C8A35BE">
      <w:start w:val="1"/>
      <w:numFmt w:val="bullet"/>
      <w:lvlText w:val="o"/>
      <w:lvlJc w:val="left"/>
      <w:pPr>
        <w:ind w:left="1440" w:hanging="360"/>
      </w:pPr>
      <w:rPr>
        <w:rFonts w:ascii="Courier New" w:hAnsi="Courier New" w:cs="Courier New" w:hint="default"/>
        <w:color w:val="002C7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EA10D6D"/>
    <w:multiLevelType w:val="hybridMultilevel"/>
    <w:tmpl w:val="A642C0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C64430"/>
    <w:multiLevelType w:val="hybridMultilevel"/>
    <w:tmpl w:val="5BB005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561102"/>
    <w:multiLevelType w:val="hybridMultilevel"/>
    <w:tmpl w:val="5DD417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8604E4"/>
    <w:multiLevelType w:val="singleLevel"/>
    <w:tmpl w:val="5A362806"/>
    <w:lvl w:ilvl="0">
      <w:start w:val="1"/>
      <w:numFmt w:val="bullet"/>
      <w:lvlText w:val=""/>
      <w:lvlJc w:val="left"/>
      <w:pPr>
        <w:tabs>
          <w:tab w:val="num" w:pos="450"/>
        </w:tabs>
        <w:ind w:left="450" w:hanging="360"/>
      </w:pPr>
      <w:rPr>
        <w:rFonts w:ascii="Wingdings" w:hAnsi="Wingdings" w:cs="Wingdings" w:hint="default"/>
        <w:sz w:val="24"/>
        <w:szCs w:val="24"/>
      </w:rPr>
    </w:lvl>
  </w:abstractNum>
  <w:abstractNum w:abstractNumId="27" w15:restartNumberingAfterBreak="0">
    <w:nsid w:val="6E370F8C"/>
    <w:multiLevelType w:val="hybridMultilevel"/>
    <w:tmpl w:val="057EECEA"/>
    <w:lvl w:ilvl="0" w:tplc="66703F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12B8F"/>
    <w:multiLevelType w:val="hybridMultilevel"/>
    <w:tmpl w:val="7404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2D30B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decimal"/>
      <w:lvlText w:val="%4."/>
      <w:lvlJc w:val="left"/>
      <w:pPr>
        <w:ind w:left="2880" w:hanging="360"/>
      </w:pPr>
      <w:rPr>
        <w:rFonts w:cs="Times New Roman"/>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7E0B74"/>
    <w:multiLevelType w:val="hybridMultilevel"/>
    <w:tmpl w:val="8DB02E48"/>
    <w:lvl w:ilvl="0" w:tplc="FFFFFFFF">
      <w:start w:val="1"/>
      <w:numFmt w:val="bullet"/>
      <w:lvlText w:val=""/>
      <w:lvlJc w:val="left"/>
      <w:pPr>
        <w:ind w:left="720" w:hanging="360"/>
      </w:pPr>
      <w:rPr>
        <w:rFonts w:ascii="Symbol" w:hAnsi="Symbol" w:hint="default"/>
      </w:rPr>
    </w:lvl>
    <w:lvl w:ilvl="1" w:tplc="AD2C0E22">
      <w:start w:val="1"/>
      <w:numFmt w:val="bullet"/>
      <w:lvlText w:val=""/>
      <w:lvlJc w:val="left"/>
      <w:pPr>
        <w:ind w:left="1440" w:hanging="360"/>
      </w:pPr>
      <w:rPr>
        <w:rFonts w:ascii="Symbol" w:hAnsi="Symbol" w:hint="default"/>
        <w:color w:val="002C73"/>
      </w:rPr>
    </w:lvl>
    <w:lvl w:ilvl="2" w:tplc="CD664D2E">
      <w:start w:val="1"/>
      <w:numFmt w:val="bullet"/>
      <w:lvlText w:val=""/>
      <w:lvlJc w:val="left"/>
      <w:pPr>
        <w:ind w:left="2160" w:hanging="360"/>
      </w:pPr>
      <w:rPr>
        <w:rFonts w:ascii="Wingdings" w:hAnsi="Wingdings" w:hint="default"/>
        <w:color w:val="002C73"/>
      </w:rPr>
    </w:lvl>
    <w:lvl w:ilvl="3" w:tplc="FFFFFFFF">
      <w:start w:val="1"/>
      <w:numFmt w:val="decimal"/>
      <w:lvlText w:val="%4."/>
      <w:lvlJc w:val="left"/>
      <w:pPr>
        <w:ind w:left="2880" w:hanging="360"/>
      </w:pPr>
      <w:rPr>
        <w:rFonts w:cs="Times New Roman"/>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ED46CA4"/>
    <w:multiLevelType w:val="hybridMultilevel"/>
    <w:tmpl w:val="271A9BE2"/>
    <w:lvl w:ilvl="0" w:tplc="B43E43FA">
      <w:start w:val="1"/>
      <w:numFmt w:val="bullet"/>
      <w:lvlText w:val=""/>
      <w:lvlJc w:val="left"/>
      <w:pPr>
        <w:ind w:left="720" w:hanging="360"/>
      </w:pPr>
      <w:rPr>
        <w:rFonts w:ascii="Symbol" w:hAnsi="Symbol" w:hint="default"/>
        <w:color w:val="002C7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9205291">
    <w:abstractNumId w:val="8"/>
  </w:num>
  <w:num w:numId="2" w16cid:durableId="1387029415">
    <w:abstractNumId w:val="1"/>
  </w:num>
  <w:num w:numId="3" w16cid:durableId="1127158364">
    <w:abstractNumId w:val="24"/>
  </w:num>
  <w:num w:numId="4" w16cid:durableId="19627335">
    <w:abstractNumId w:val="23"/>
  </w:num>
  <w:num w:numId="5" w16cid:durableId="1306932981">
    <w:abstractNumId w:val="11"/>
  </w:num>
  <w:num w:numId="6" w16cid:durableId="174004610">
    <w:abstractNumId w:val="26"/>
  </w:num>
  <w:num w:numId="7" w16cid:durableId="899905424">
    <w:abstractNumId w:val="7"/>
  </w:num>
  <w:num w:numId="8" w16cid:durableId="322584007">
    <w:abstractNumId w:val="9"/>
  </w:num>
  <w:num w:numId="9" w16cid:durableId="1096899240">
    <w:abstractNumId w:val="17"/>
  </w:num>
  <w:num w:numId="10" w16cid:durableId="741220848">
    <w:abstractNumId w:val="27"/>
  </w:num>
  <w:num w:numId="11" w16cid:durableId="822162054">
    <w:abstractNumId w:val="0"/>
  </w:num>
  <w:num w:numId="12" w16cid:durableId="72122360">
    <w:abstractNumId w:val="4"/>
  </w:num>
  <w:num w:numId="13" w16cid:durableId="2001538736">
    <w:abstractNumId w:val="15"/>
  </w:num>
  <w:num w:numId="14" w16cid:durableId="770048400">
    <w:abstractNumId w:val="3"/>
  </w:num>
  <w:num w:numId="15" w16cid:durableId="229079989">
    <w:abstractNumId w:val="12"/>
  </w:num>
  <w:num w:numId="16" w16cid:durableId="661006538">
    <w:abstractNumId w:val="18"/>
  </w:num>
  <w:num w:numId="17" w16cid:durableId="437139411">
    <w:abstractNumId w:val="28"/>
  </w:num>
  <w:num w:numId="18" w16cid:durableId="1124351717">
    <w:abstractNumId w:val="19"/>
  </w:num>
  <w:num w:numId="19" w16cid:durableId="568000546">
    <w:abstractNumId w:val="14"/>
  </w:num>
  <w:num w:numId="20" w16cid:durableId="1351224989">
    <w:abstractNumId w:val="16"/>
  </w:num>
  <w:num w:numId="21" w16cid:durableId="93210590">
    <w:abstractNumId w:val="2"/>
  </w:num>
  <w:num w:numId="22" w16cid:durableId="1233347839">
    <w:abstractNumId w:val="5"/>
  </w:num>
  <w:num w:numId="23" w16cid:durableId="1353724932">
    <w:abstractNumId w:val="13"/>
  </w:num>
  <w:num w:numId="24" w16cid:durableId="739671799">
    <w:abstractNumId w:val="29"/>
  </w:num>
  <w:num w:numId="25" w16cid:durableId="1588228269">
    <w:abstractNumId w:val="10"/>
  </w:num>
  <w:num w:numId="26" w16cid:durableId="230194807">
    <w:abstractNumId w:val="25"/>
  </w:num>
  <w:num w:numId="27" w16cid:durableId="1767336637">
    <w:abstractNumId w:val="22"/>
  </w:num>
  <w:num w:numId="28" w16cid:durableId="207035321">
    <w:abstractNumId w:val="30"/>
  </w:num>
  <w:num w:numId="29" w16cid:durableId="1138256451">
    <w:abstractNumId w:val="21"/>
  </w:num>
  <w:num w:numId="30" w16cid:durableId="1801220832">
    <w:abstractNumId w:val="6"/>
  </w:num>
  <w:num w:numId="31" w16cid:durableId="87701804">
    <w:abstractNumId w:val="31"/>
  </w:num>
  <w:num w:numId="32" w16cid:durableId="21368265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42"/>
    <w:rsid w:val="000522A9"/>
    <w:rsid w:val="00054309"/>
    <w:rsid w:val="00060B5E"/>
    <w:rsid w:val="000B49A6"/>
    <w:rsid w:val="000F1935"/>
    <w:rsid w:val="00100D99"/>
    <w:rsid w:val="0012531F"/>
    <w:rsid w:val="00157EA8"/>
    <w:rsid w:val="00215F50"/>
    <w:rsid w:val="00245429"/>
    <w:rsid w:val="00311CEF"/>
    <w:rsid w:val="003223BD"/>
    <w:rsid w:val="00350163"/>
    <w:rsid w:val="00395B86"/>
    <w:rsid w:val="00417C9D"/>
    <w:rsid w:val="0046077A"/>
    <w:rsid w:val="00482EB2"/>
    <w:rsid w:val="004A7686"/>
    <w:rsid w:val="005168CE"/>
    <w:rsid w:val="00547C45"/>
    <w:rsid w:val="00567AC5"/>
    <w:rsid w:val="005744A0"/>
    <w:rsid w:val="005B1302"/>
    <w:rsid w:val="005B605D"/>
    <w:rsid w:val="005C1285"/>
    <w:rsid w:val="0060454D"/>
    <w:rsid w:val="00636BF5"/>
    <w:rsid w:val="00647214"/>
    <w:rsid w:val="006779AD"/>
    <w:rsid w:val="006D67BC"/>
    <w:rsid w:val="006E7FAB"/>
    <w:rsid w:val="006F0742"/>
    <w:rsid w:val="0075505A"/>
    <w:rsid w:val="007607EC"/>
    <w:rsid w:val="00763367"/>
    <w:rsid w:val="0082325A"/>
    <w:rsid w:val="008674DA"/>
    <w:rsid w:val="009466BB"/>
    <w:rsid w:val="00956EEC"/>
    <w:rsid w:val="0097704B"/>
    <w:rsid w:val="009D7BCF"/>
    <w:rsid w:val="00A70889"/>
    <w:rsid w:val="00A84FC3"/>
    <w:rsid w:val="00B926C3"/>
    <w:rsid w:val="00C01441"/>
    <w:rsid w:val="00C11006"/>
    <w:rsid w:val="00C17C39"/>
    <w:rsid w:val="00C314F2"/>
    <w:rsid w:val="00CB2E8B"/>
    <w:rsid w:val="00D03EC0"/>
    <w:rsid w:val="00D547EF"/>
    <w:rsid w:val="00D55C01"/>
    <w:rsid w:val="00E578B4"/>
    <w:rsid w:val="00EB1862"/>
    <w:rsid w:val="00EE4F4E"/>
    <w:rsid w:val="00F15A15"/>
    <w:rsid w:val="00F92CCC"/>
    <w:rsid w:val="00FB580F"/>
    <w:rsid w:val="00FD6ABE"/>
    <w:rsid w:val="00FD7E85"/>
    <w:rsid w:val="00FE5627"/>
    <w:rsid w:val="65121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EA44F"/>
  <w15:chartTrackingRefBased/>
  <w15:docId w15:val="{2BE4D24D-0D06-D74C-9609-76219556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EC"/>
    <w:pPr>
      <w:spacing w:line="264" w:lineRule="auto"/>
    </w:pPr>
    <w:rPr>
      <w:rFonts w:ascii="Source Sans Pro" w:hAnsi="Source Sans Pro"/>
      <w:sz w:val="22"/>
      <w:szCs w:val="22"/>
    </w:rPr>
  </w:style>
  <w:style w:type="paragraph" w:styleId="Heading1">
    <w:name w:val="heading 1"/>
    <w:basedOn w:val="Normal"/>
    <w:next w:val="Normal"/>
    <w:link w:val="Heading1Char"/>
    <w:uiPriority w:val="9"/>
    <w:qFormat/>
    <w:rsid w:val="00956EE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EE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EEC"/>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EEC"/>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56EEC"/>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56EEC"/>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56EEC"/>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56EEC"/>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56EEC"/>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E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E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E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E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E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EEC"/>
    <w:rPr>
      <w:rFonts w:eastAsiaTheme="majorEastAsia" w:cstheme="majorBidi"/>
      <w:color w:val="272727" w:themeColor="text1" w:themeTint="D8"/>
    </w:rPr>
  </w:style>
  <w:style w:type="paragraph" w:styleId="Title">
    <w:name w:val="Title"/>
    <w:basedOn w:val="Normal"/>
    <w:next w:val="Normal"/>
    <w:link w:val="TitleChar"/>
    <w:uiPriority w:val="10"/>
    <w:qFormat/>
    <w:rsid w:val="00956E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EEC"/>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EEC"/>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956EEC"/>
    <w:rPr>
      <w:i/>
      <w:iCs/>
      <w:color w:val="404040" w:themeColor="text1" w:themeTint="BF"/>
    </w:rPr>
  </w:style>
  <w:style w:type="paragraph" w:styleId="ListParagraph">
    <w:name w:val="List Paragraph"/>
    <w:basedOn w:val="Normal"/>
    <w:uiPriority w:val="34"/>
    <w:qFormat/>
    <w:rsid w:val="00956EEC"/>
    <w:pPr>
      <w:spacing w:line="278" w:lineRule="auto"/>
      <w:ind w:left="720"/>
      <w:contextualSpacing/>
    </w:pPr>
    <w:rPr>
      <w:rFonts w:asciiTheme="minorHAnsi" w:hAnsiTheme="minorHAnsi"/>
      <w:sz w:val="24"/>
      <w:szCs w:val="24"/>
    </w:rPr>
  </w:style>
  <w:style w:type="character" w:styleId="IntenseEmphasis">
    <w:name w:val="Intense Emphasis"/>
    <w:basedOn w:val="DefaultParagraphFont"/>
    <w:uiPriority w:val="21"/>
    <w:qFormat/>
    <w:rsid w:val="00956EEC"/>
    <w:rPr>
      <w:i/>
      <w:iCs/>
      <w:color w:val="0F4761" w:themeColor="accent1" w:themeShade="BF"/>
    </w:rPr>
  </w:style>
  <w:style w:type="paragraph" w:styleId="IntenseQuote">
    <w:name w:val="Intense Quote"/>
    <w:basedOn w:val="Normal"/>
    <w:next w:val="Normal"/>
    <w:link w:val="IntenseQuoteChar"/>
    <w:uiPriority w:val="30"/>
    <w:qFormat/>
    <w:rsid w:val="00956EE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956EEC"/>
    <w:rPr>
      <w:i/>
      <w:iCs/>
      <w:color w:val="0F4761" w:themeColor="accent1" w:themeShade="BF"/>
    </w:rPr>
  </w:style>
  <w:style w:type="character" w:styleId="IntenseReference">
    <w:name w:val="Intense Reference"/>
    <w:basedOn w:val="DefaultParagraphFont"/>
    <w:uiPriority w:val="32"/>
    <w:qFormat/>
    <w:rsid w:val="00956EEC"/>
    <w:rPr>
      <w:b/>
      <w:bCs/>
      <w:smallCaps/>
      <w:color w:val="0F4761" w:themeColor="accent1" w:themeShade="BF"/>
      <w:spacing w:val="5"/>
    </w:rPr>
  </w:style>
  <w:style w:type="paragraph" w:styleId="Header">
    <w:name w:val="header"/>
    <w:basedOn w:val="Normal"/>
    <w:link w:val="Head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HeaderChar">
    <w:name w:val="Header Char"/>
    <w:basedOn w:val="DefaultParagraphFont"/>
    <w:link w:val="Header"/>
    <w:uiPriority w:val="99"/>
    <w:rsid w:val="00956EEC"/>
  </w:style>
  <w:style w:type="paragraph" w:styleId="Footer">
    <w:name w:val="footer"/>
    <w:basedOn w:val="Normal"/>
    <w:link w:val="FooterChar"/>
    <w:uiPriority w:val="99"/>
    <w:unhideWhenUsed/>
    <w:rsid w:val="00956EEC"/>
    <w:pPr>
      <w:tabs>
        <w:tab w:val="center" w:pos="4680"/>
        <w:tab w:val="right" w:pos="9360"/>
      </w:tabs>
      <w:spacing w:after="0" w:line="240" w:lineRule="auto"/>
    </w:pPr>
    <w:rPr>
      <w:rFonts w:asciiTheme="minorHAnsi" w:hAnsiTheme="minorHAnsi"/>
      <w:sz w:val="24"/>
      <w:szCs w:val="24"/>
    </w:rPr>
  </w:style>
  <w:style w:type="character" w:customStyle="1" w:styleId="FooterChar">
    <w:name w:val="Footer Char"/>
    <w:basedOn w:val="DefaultParagraphFont"/>
    <w:link w:val="Footer"/>
    <w:uiPriority w:val="99"/>
    <w:rsid w:val="00956EE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0">
    <w:name w:val="TableGrid"/>
    <w:rsid w:val="00350163"/>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245429"/>
    <w:rPr>
      <w:color w:val="467886" w:themeColor="hyperlink"/>
      <w:u w:val="single"/>
    </w:rPr>
  </w:style>
  <w:style w:type="character" w:styleId="UnresolvedMention">
    <w:name w:val="Unresolved Mention"/>
    <w:basedOn w:val="DefaultParagraphFont"/>
    <w:uiPriority w:val="99"/>
    <w:semiHidden/>
    <w:unhideWhenUsed/>
    <w:rsid w:val="00245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184745/downloa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cessdata.fda.gov/scripts/cdrh/cfdocs/cfcfr/CFRSearch.cfm?CFRPart=5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FDFF9A195F2428BD1EFBCFBBE313E" ma:contentTypeVersion="11" ma:contentTypeDescription="Create a new document." ma:contentTypeScope="" ma:versionID="52df4c7965c9ba3334d2e7b42fae9de7">
  <xsd:schema xmlns:xsd="http://www.w3.org/2001/XMLSchema" xmlns:xs="http://www.w3.org/2001/XMLSchema" xmlns:p="http://schemas.microsoft.com/office/2006/metadata/properties" xmlns:ns2="364a7675-d4ef-4adc-9d7e-6a668f1c9be2" xmlns:ns3="c5e8106a-8764-4593-854a-bffe5d9b1f0f" targetNamespace="http://schemas.microsoft.com/office/2006/metadata/properties" ma:root="true" ma:fieldsID="5575e68c577ca524122d494f5f8f32f5" ns2:_="" ns3:_="">
    <xsd:import namespace="364a7675-d4ef-4adc-9d7e-6a668f1c9be2"/>
    <xsd:import namespace="c5e8106a-8764-4593-854a-bffe5d9b1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a7675-d4ef-4adc-9d7e-6a668f1c9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fdbf69-eb56-44ce-81fc-1e4d5a9fd8a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8106a-8764-4593-854a-bffe5d9b1f0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8e7f86f-d1cd-4748-9e36-309307fc9698}" ma:internalName="TaxCatchAll" ma:showField="CatchAllData" ma:web="c5e8106a-8764-4593-854a-bffe5d9b1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e8106a-8764-4593-854a-bffe5d9b1f0f" xsi:nil="true"/>
    <lcf76f155ced4ddcb4097134ff3c332f xmlns="364a7675-d4ef-4adc-9d7e-6a668f1c9be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78029-0111-4FCF-9172-2909BB6B3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a7675-d4ef-4adc-9d7e-6a668f1c9be2"/>
    <ds:schemaRef ds:uri="c5e8106a-8764-4593-854a-bffe5d9b1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66499-F2F8-434D-94CD-A68E0D45CEF8}">
  <ds:schemaRefs>
    <ds:schemaRef ds:uri="http://schemas.microsoft.com/sharepoint/v3/contenttype/forms"/>
  </ds:schemaRefs>
</ds:datastoreItem>
</file>

<file path=customXml/itemProps3.xml><?xml version="1.0" encoding="utf-8"?>
<ds:datastoreItem xmlns:ds="http://schemas.openxmlformats.org/officeDocument/2006/customXml" ds:itemID="{C97AA9FF-D9B9-4EF7-8DCD-627EF7ACAF78}">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364a7675-d4ef-4adc-9d7e-6a668f1c9be2"/>
    <ds:schemaRef ds:uri="http://schemas.microsoft.com/office/infopath/2007/PartnerControls"/>
    <ds:schemaRef ds:uri="http://purl.org/dc/elements/1.1/"/>
    <ds:schemaRef ds:uri="http://www.w3.org/XML/1998/namespace"/>
    <ds:schemaRef ds:uri="c5e8106a-8764-4593-854a-bffe5d9b1f0f"/>
    <ds:schemaRef ds:uri="http://purl.org/dc/dcmitype/"/>
  </ds:schemaRefs>
</ds:datastoreItem>
</file>

<file path=customXml/itemProps4.xml><?xml version="1.0" encoding="utf-8"?>
<ds:datastoreItem xmlns:ds="http://schemas.openxmlformats.org/officeDocument/2006/customXml" ds:itemID="{4167268E-8B85-4986-9B33-F84CECF73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1807</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BJC2215</dc:creator>
  <cp:keywords/>
  <dc:description/>
  <cp:lastModifiedBy>Brame, Megan H</cp:lastModifiedBy>
  <cp:revision>2</cp:revision>
  <cp:lastPrinted>2026-03-26T01:19:00Z</cp:lastPrinted>
  <dcterms:created xsi:type="dcterms:W3CDTF">2026-05-08T20:11:00Z</dcterms:created>
  <dcterms:modified xsi:type="dcterms:W3CDTF">2026-05-08T20:11:00Z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0x01010094CFDFF9A195F2428BD1EFBCFBBE313E</vt:lpwstr>
  </property>
  <property fmtid="{D5CDD505-2E9C-101B-9397-08002B2CF9AE}" pid="3" name="MediaServiceImageTags">
    <vt:lpwstr/>
  </property>
</Properties>
</file>